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094948" w14:textId="77777777" w:rsidR="000B7810" w:rsidRPr="00731C06" w:rsidRDefault="000B7810" w:rsidP="004F234D">
      <w:pPr>
        <w:tabs>
          <w:tab w:val="left" w:leader="underscore" w:pos="9639"/>
        </w:tabs>
        <w:spacing w:after="0" w:line="240" w:lineRule="auto"/>
        <w:ind w:left="9639" w:hanging="9639"/>
        <w:jc w:val="center"/>
        <w:rPr>
          <w:rFonts w:asciiTheme="minorHAnsi" w:hAnsiTheme="minorHAnsi"/>
          <w:sz w:val="24"/>
          <w:szCs w:val="24"/>
        </w:rPr>
      </w:pPr>
    </w:p>
    <w:p w14:paraId="507776DB" w14:textId="77777777" w:rsidR="007D1E76" w:rsidRPr="00731C06" w:rsidRDefault="007947D7" w:rsidP="00F067C8">
      <w:pPr>
        <w:tabs>
          <w:tab w:val="left" w:leader="underscore" w:pos="9639"/>
        </w:tabs>
        <w:spacing w:after="0" w:line="240" w:lineRule="auto"/>
        <w:jc w:val="center"/>
        <w:rPr>
          <w:rFonts w:asciiTheme="minorHAnsi" w:hAnsiTheme="minorHAnsi" w:cs="Calibri"/>
          <w:b/>
          <w:sz w:val="28"/>
          <w:szCs w:val="28"/>
        </w:rPr>
      </w:pPr>
      <w:hyperlink r:id="rId12" w:history="1">
        <w:r w:rsidR="007D1E76" w:rsidRPr="00731C06">
          <w:rPr>
            <w:rStyle w:val="Hipervnculo"/>
            <w:rFonts w:asciiTheme="minorHAnsi" w:hAnsiTheme="minorHAnsi" w:cs="Calibri"/>
            <w:b/>
            <w:sz w:val="28"/>
            <w:szCs w:val="28"/>
          </w:rPr>
          <w:t>NOTAS DE GESTIÓN ADMINISTRATIVA</w:t>
        </w:r>
      </w:hyperlink>
    </w:p>
    <w:p w14:paraId="1217A01B" w14:textId="40B1FF5C" w:rsidR="007D1E76" w:rsidRPr="00731C06" w:rsidRDefault="00F067C8" w:rsidP="00F067C8">
      <w:pPr>
        <w:tabs>
          <w:tab w:val="left" w:leader="underscore" w:pos="9639"/>
        </w:tabs>
        <w:spacing w:after="0" w:line="240" w:lineRule="auto"/>
        <w:jc w:val="center"/>
        <w:rPr>
          <w:rFonts w:asciiTheme="minorHAnsi" w:hAnsiTheme="minorHAnsi" w:cs="Calibri"/>
        </w:rPr>
      </w:pPr>
      <w:r w:rsidRPr="00731C06">
        <w:rPr>
          <w:rFonts w:asciiTheme="minorHAnsi" w:hAnsiTheme="minorHAnsi" w:cs="Calibri"/>
        </w:rPr>
        <w:t>06-12-2022</w:t>
      </w:r>
    </w:p>
    <w:p w14:paraId="2F65D88B"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13110D4"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Los Estados Financieros de los entes públicos, proveen de información financiera a los principales usuarios de la misma, al</w:t>
      </w:r>
      <w:r w:rsidR="00E00323" w:rsidRPr="00731C06">
        <w:rPr>
          <w:rFonts w:asciiTheme="minorHAnsi" w:hAnsiTheme="minorHAnsi" w:cs="Calibri"/>
        </w:rPr>
        <w:t xml:space="preserve"> Congreso y a los ciudadanos.</w:t>
      </w:r>
    </w:p>
    <w:p w14:paraId="025F8809"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25F26DDB" w14:textId="08E5784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El objetivo del presente documento es la revelación del contexto y de los aspectos económicos</w:t>
      </w:r>
      <w:r w:rsidR="00967DDA" w:rsidRPr="00731C06">
        <w:rPr>
          <w:rFonts w:asciiTheme="minorHAnsi" w:hAnsiTheme="minorHAnsi" w:cs="Calibri"/>
        </w:rPr>
        <w:t>-</w:t>
      </w:r>
      <w:r w:rsidRPr="00731C06">
        <w:rPr>
          <w:rFonts w:asciiTheme="minorHAnsi" w:hAnsiTheme="minorHAnsi" w:cs="Calibri"/>
        </w:rPr>
        <w:t>financieros más relevantes que influyeron en las decisiones del período, y que deberán ser considerados en la elaboración de los estados financieros para la mayor comprensión de los m</w:t>
      </w:r>
      <w:r w:rsidR="00E00323" w:rsidRPr="00731C06">
        <w:rPr>
          <w:rFonts w:asciiTheme="minorHAnsi" w:hAnsiTheme="minorHAnsi" w:cs="Calibri"/>
        </w:rPr>
        <w:t>ismos y sus particularidades.</w:t>
      </w:r>
    </w:p>
    <w:p w14:paraId="606D20F5"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59642E6" w14:textId="7AD61893"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De esta manera, </w:t>
      </w:r>
      <w:r w:rsidR="00295B72" w:rsidRPr="00731C06">
        <w:rPr>
          <w:rFonts w:asciiTheme="minorHAnsi" w:hAnsiTheme="minorHAnsi" w:cs="Calibri"/>
        </w:rPr>
        <w:t>se informan y explican las condiciones relacionadas con la información financiera de cada período de gestión; además, de exponer aquellas políticas que podrían afectar la toma de decisiones en períodos posteriores.</w:t>
      </w:r>
      <w:r w:rsidR="00C93C67" w:rsidRPr="00731C06">
        <w:rPr>
          <w:rFonts w:asciiTheme="minorHAnsi" w:hAnsiTheme="minorHAnsi" w:cs="Calibri"/>
        </w:rPr>
        <w:t xml:space="preserve"> (</w:t>
      </w:r>
      <w:r w:rsidR="00C93C67" w:rsidRPr="00731C06">
        <w:rPr>
          <w:rFonts w:asciiTheme="minorHAnsi" w:hAnsiTheme="minorHAnsi" w:cs="Calibri"/>
          <w:color w:val="2F5496" w:themeColor="accent5" w:themeShade="BF"/>
        </w:rPr>
        <w:t>DOF 06-12-2022</w:t>
      </w:r>
      <w:r w:rsidR="00C93C67" w:rsidRPr="00731C06">
        <w:rPr>
          <w:rFonts w:asciiTheme="minorHAnsi" w:hAnsiTheme="minorHAnsi" w:cs="Calibri"/>
        </w:rPr>
        <w:t>)</w:t>
      </w:r>
    </w:p>
    <w:p w14:paraId="009160FA" w14:textId="7F828C13" w:rsidR="007D1E76" w:rsidRPr="00731C06" w:rsidRDefault="007D1E76" w:rsidP="00CB41C4">
      <w:pPr>
        <w:pStyle w:val="Prrafodelista"/>
        <w:tabs>
          <w:tab w:val="left" w:leader="underscore" w:pos="9639"/>
        </w:tabs>
        <w:spacing w:after="0" w:line="240" w:lineRule="auto"/>
        <w:jc w:val="both"/>
        <w:rPr>
          <w:rFonts w:asciiTheme="minorHAnsi" w:hAnsiTheme="minorHAnsi" w:cs="Calibri"/>
        </w:rPr>
      </w:pPr>
    </w:p>
    <w:p w14:paraId="64420E1E" w14:textId="4E44B4A8" w:rsidR="007D1E76" w:rsidRPr="00731C06" w:rsidRDefault="007D1E76" w:rsidP="00CB41C4">
      <w:pPr>
        <w:pStyle w:val="Prrafodelista"/>
        <w:numPr>
          <w:ilvl w:val="0"/>
          <w:numId w:val="1"/>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Las notas de gestión administrativa deben contener los siguientes puntos:</w:t>
      </w:r>
    </w:p>
    <w:p w14:paraId="552470B0" w14:textId="6EC8F965" w:rsidR="007D1E76" w:rsidRPr="00731C06" w:rsidRDefault="007D1E76" w:rsidP="00CB41C4">
      <w:pPr>
        <w:tabs>
          <w:tab w:val="left" w:leader="underscore" w:pos="9639"/>
        </w:tabs>
        <w:spacing w:after="0" w:line="240" w:lineRule="auto"/>
        <w:jc w:val="both"/>
        <w:rPr>
          <w:rFonts w:asciiTheme="minorHAnsi" w:hAnsiTheme="minorHAnsi" w:cs="Calibri"/>
        </w:rPr>
      </w:pPr>
    </w:p>
    <w:sdt>
      <w:sdtPr>
        <w:rPr>
          <w:rFonts w:asciiTheme="minorHAnsi" w:eastAsia="Calibri" w:hAnsiTheme="minorHAnsi" w:cs="Times New Roman"/>
          <w:color w:val="auto"/>
          <w:sz w:val="22"/>
          <w:szCs w:val="22"/>
          <w:lang w:val="es-ES" w:eastAsia="en-US"/>
        </w:rPr>
        <w:id w:val="-191922827"/>
        <w:docPartObj>
          <w:docPartGallery w:val="Table of Contents"/>
          <w:docPartUnique/>
        </w:docPartObj>
      </w:sdtPr>
      <w:sdtEndPr>
        <w:rPr>
          <w:b/>
          <w:bCs/>
        </w:rPr>
      </w:sdtEndPr>
      <w:sdtContent>
        <w:p w14:paraId="68C75D59" w14:textId="5B2ECB74" w:rsidR="00F46719" w:rsidRPr="00731C06" w:rsidRDefault="00F46719">
          <w:pPr>
            <w:pStyle w:val="TtulodeTDC"/>
            <w:rPr>
              <w:rFonts w:asciiTheme="minorHAnsi" w:hAnsiTheme="minorHAnsi"/>
              <w:lang w:val="es-ES"/>
            </w:rPr>
          </w:pPr>
          <w:r w:rsidRPr="00731C06">
            <w:rPr>
              <w:rFonts w:asciiTheme="minorHAnsi" w:hAnsiTheme="minorHAnsi"/>
              <w:lang w:val="es-ES"/>
            </w:rPr>
            <w:t>Contenido</w:t>
          </w:r>
        </w:p>
        <w:p w14:paraId="6FC310E2" w14:textId="77777777" w:rsidR="00516100" w:rsidRPr="00731C06" w:rsidRDefault="00516100" w:rsidP="00516100">
          <w:pPr>
            <w:rPr>
              <w:rFonts w:asciiTheme="minorHAnsi" w:hAnsiTheme="minorHAnsi"/>
              <w:lang w:val="es-ES" w:eastAsia="es-MX"/>
            </w:rPr>
          </w:pPr>
        </w:p>
        <w:p w14:paraId="1A37D15B" w14:textId="1D0B559D" w:rsidR="005F51CC" w:rsidRPr="00731C06" w:rsidRDefault="00F46719">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r w:rsidRPr="00731C06">
            <w:rPr>
              <w:rFonts w:asciiTheme="minorHAnsi" w:hAnsiTheme="minorHAnsi"/>
            </w:rPr>
            <w:fldChar w:fldCharType="begin"/>
          </w:r>
          <w:r w:rsidRPr="00731C06">
            <w:rPr>
              <w:rFonts w:asciiTheme="minorHAnsi" w:hAnsiTheme="minorHAnsi"/>
            </w:rPr>
            <w:instrText xml:space="preserve"> TOC \o "1-3" \h \z \u </w:instrText>
          </w:r>
          <w:r w:rsidRPr="00731C06">
            <w:rPr>
              <w:rFonts w:asciiTheme="minorHAnsi" w:hAnsiTheme="minorHAnsi"/>
            </w:rPr>
            <w:fldChar w:fldCharType="separate"/>
          </w:r>
          <w:hyperlink w:anchor="_Toc161472866" w:history="1">
            <w:r w:rsidR="005F51CC" w:rsidRPr="00731C06">
              <w:rPr>
                <w:rStyle w:val="Hipervnculo"/>
                <w:rFonts w:asciiTheme="minorHAnsi" w:hAnsiTheme="minorHAnsi" w:cstheme="minorHAnsi"/>
                <w:b/>
                <w:noProof/>
              </w:rPr>
              <w:t>1. Autorización e Historia:</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_Toc161472866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2</w:t>
            </w:r>
            <w:r w:rsidR="005F51CC" w:rsidRPr="00731C06">
              <w:rPr>
                <w:rFonts w:asciiTheme="minorHAnsi" w:hAnsiTheme="minorHAnsi"/>
                <w:noProof/>
                <w:webHidden/>
              </w:rPr>
              <w:fldChar w:fldCharType="end"/>
            </w:r>
          </w:hyperlink>
        </w:p>
        <w:p w14:paraId="6A6756CA" w14:textId="5428BD0E"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67" w:history="1">
            <w:r w:rsidR="005F51CC" w:rsidRPr="00731C06">
              <w:rPr>
                <w:rStyle w:val="Hipervnculo"/>
                <w:rFonts w:asciiTheme="minorHAnsi" w:hAnsiTheme="minorHAnsi" w:cstheme="minorHAnsi"/>
                <w:b/>
                <w:noProof/>
              </w:rPr>
              <w:t>2. Panorama Económico y Financiero</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_Toc161472867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2</w:t>
            </w:r>
            <w:r w:rsidR="005F51CC" w:rsidRPr="00731C06">
              <w:rPr>
                <w:rFonts w:asciiTheme="minorHAnsi" w:hAnsiTheme="minorHAnsi"/>
                <w:noProof/>
                <w:webHidden/>
              </w:rPr>
              <w:fldChar w:fldCharType="end"/>
            </w:r>
          </w:hyperlink>
        </w:p>
        <w:p w14:paraId="19796F35" w14:textId="77F3445E"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68" w:history="1">
            <w:r w:rsidR="005F51CC" w:rsidRPr="00731C06">
              <w:rPr>
                <w:rStyle w:val="Hipervnculo"/>
                <w:rFonts w:asciiTheme="minorHAnsi" w:hAnsiTheme="minorHAnsi" w:cstheme="minorHAnsi"/>
                <w:b/>
                <w:noProof/>
              </w:rPr>
              <w:t>3. Organización y Objeto Social:</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_Toc161472868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2</w:t>
            </w:r>
            <w:r w:rsidR="005F51CC" w:rsidRPr="00731C06">
              <w:rPr>
                <w:rFonts w:asciiTheme="minorHAnsi" w:hAnsiTheme="minorHAnsi"/>
                <w:noProof/>
                <w:webHidden/>
              </w:rPr>
              <w:fldChar w:fldCharType="end"/>
            </w:r>
          </w:hyperlink>
        </w:p>
        <w:p w14:paraId="62AC0657" w14:textId="45278940"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69" w:history="1">
            <w:r w:rsidR="005F51CC" w:rsidRPr="00731C06">
              <w:rPr>
                <w:rStyle w:val="Hipervnculo"/>
                <w:rFonts w:asciiTheme="minorHAnsi" w:hAnsiTheme="minorHAnsi" w:cstheme="minorHAnsi"/>
                <w:b/>
                <w:noProof/>
              </w:rPr>
              <w:t>4. Bases de Preparación de los Estados Financieros: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_Toc161472869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3</w:t>
            </w:r>
            <w:r w:rsidR="005F51CC" w:rsidRPr="00731C06">
              <w:rPr>
                <w:rFonts w:asciiTheme="minorHAnsi" w:hAnsiTheme="minorHAnsi"/>
                <w:noProof/>
                <w:webHidden/>
              </w:rPr>
              <w:fldChar w:fldCharType="end"/>
            </w:r>
          </w:hyperlink>
        </w:p>
        <w:p w14:paraId="7C7C1962" w14:textId="7569E89F"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0" w:history="1">
            <w:r w:rsidR="005F51CC" w:rsidRPr="00731C06">
              <w:rPr>
                <w:rStyle w:val="Hipervnculo"/>
                <w:rFonts w:asciiTheme="minorHAnsi" w:hAnsiTheme="minorHAnsi" w:cstheme="minorHAnsi"/>
                <w:b/>
                <w:noProof/>
              </w:rPr>
              <w:t>5. Políticas de Contabilidad Significativas: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_Toc161472870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4</w:t>
            </w:r>
            <w:r w:rsidR="005F51CC" w:rsidRPr="00731C06">
              <w:rPr>
                <w:rFonts w:asciiTheme="minorHAnsi" w:hAnsiTheme="minorHAnsi"/>
                <w:noProof/>
                <w:webHidden/>
              </w:rPr>
              <w:fldChar w:fldCharType="end"/>
            </w:r>
          </w:hyperlink>
        </w:p>
        <w:p w14:paraId="3FE6C661" w14:textId="3433CD09"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1" w:history="1">
            <w:r w:rsidR="005F51CC" w:rsidRPr="00731C06">
              <w:rPr>
                <w:rStyle w:val="Hipervnculo"/>
                <w:rFonts w:asciiTheme="minorHAnsi" w:hAnsiTheme="minorHAnsi" w:cstheme="minorHAnsi"/>
                <w:b/>
                <w:noProof/>
              </w:rPr>
              <w:t>6. Posición en Moneda Extranjera y Protección por Riesgo Cambiario:</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_Toc161472871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6</w:t>
            </w:r>
            <w:r w:rsidR="005F51CC" w:rsidRPr="00731C06">
              <w:rPr>
                <w:rFonts w:asciiTheme="minorHAnsi" w:hAnsiTheme="minorHAnsi"/>
                <w:noProof/>
                <w:webHidden/>
              </w:rPr>
              <w:fldChar w:fldCharType="end"/>
            </w:r>
          </w:hyperlink>
        </w:p>
        <w:p w14:paraId="135541CC" w14:textId="06594711"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2" w:history="1">
            <w:r w:rsidR="005F51CC" w:rsidRPr="00731C06">
              <w:rPr>
                <w:rStyle w:val="Hipervnculo"/>
                <w:rFonts w:asciiTheme="minorHAnsi" w:hAnsiTheme="minorHAnsi" w:cstheme="minorHAnsi"/>
                <w:b/>
                <w:noProof/>
              </w:rPr>
              <w:t>7. Reporte Analítico del Activo:</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_Toc161472872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7</w:t>
            </w:r>
            <w:r w:rsidR="005F51CC" w:rsidRPr="00731C06">
              <w:rPr>
                <w:rFonts w:asciiTheme="minorHAnsi" w:hAnsiTheme="minorHAnsi"/>
                <w:noProof/>
                <w:webHidden/>
              </w:rPr>
              <w:fldChar w:fldCharType="end"/>
            </w:r>
          </w:hyperlink>
        </w:p>
        <w:p w14:paraId="48C9D852" w14:textId="5DDCB4F7"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3" w:history="1">
            <w:r w:rsidR="005F51CC" w:rsidRPr="00731C06">
              <w:rPr>
                <w:rStyle w:val="Hipervnculo"/>
                <w:rFonts w:asciiTheme="minorHAnsi" w:hAnsiTheme="minorHAnsi" w:cstheme="minorHAnsi"/>
                <w:b/>
                <w:noProof/>
              </w:rPr>
              <w:t>8. Fideicomisos, Mandatos y Análogos: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_Toc161472873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8</w:t>
            </w:r>
            <w:r w:rsidR="005F51CC" w:rsidRPr="00731C06">
              <w:rPr>
                <w:rFonts w:asciiTheme="minorHAnsi" w:hAnsiTheme="minorHAnsi"/>
                <w:noProof/>
                <w:webHidden/>
              </w:rPr>
              <w:fldChar w:fldCharType="end"/>
            </w:r>
          </w:hyperlink>
        </w:p>
        <w:p w14:paraId="027C97E3" w14:textId="6F133564"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4" w:history="1">
            <w:r w:rsidR="005F51CC" w:rsidRPr="00731C06">
              <w:rPr>
                <w:rStyle w:val="Hipervnculo"/>
                <w:rFonts w:asciiTheme="minorHAnsi" w:hAnsiTheme="minorHAnsi" w:cstheme="minorHAnsi"/>
                <w:b/>
                <w:noProof/>
              </w:rPr>
              <w:t>9. Reporte de la Recaudación:</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_Toc161472874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9</w:t>
            </w:r>
            <w:r w:rsidR="005F51CC" w:rsidRPr="00731C06">
              <w:rPr>
                <w:rFonts w:asciiTheme="minorHAnsi" w:hAnsiTheme="minorHAnsi"/>
                <w:noProof/>
                <w:webHidden/>
              </w:rPr>
              <w:fldChar w:fldCharType="end"/>
            </w:r>
          </w:hyperlink>
        </w:p>
        <w:p w14:paraId="00DB87A1" w14:textId="0E5C6D6B"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5" w:history="1">
            <w:r w:rsidR="005F51CC" w:rsidRPr="00731C06">
              <w:rPr>
                <w:rStyle w:val="Hipervnculo"/>
                <w:rFonts w:asciiTheme="minorHAnsi" w:hAnsiTheme="minorHAnsi" w:cstheme="minorHAnsi"/>
                <w:b/>
                <w:noProof/>
              </w:rPr>
              <w:t>10. Información sobre la Deuda y el Reporte Analítico de la Deuda:</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_Toc161472875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9</w:t>
            </w:r>
            <w:r w:rsidR="005F51CC" w:rsidRPr="00731C06">
              <w:rPr>
                <w:rFonts w:asciiTheme="minorHAnsi" w:hAnsiTheme="minorHAnsi"/>
                <w:noProof/>
                <w:webHidden/>
              </w:rPr>
              <w:fldChar w:fldCharType="end"/>
            </w:r>
          </w:hyperlink>
        </w:p>
        <w:p w14:paraId="00EEECC2" w14:textId="7F2B838A"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6" w:history="1">
            <w:r w:rsidR="005F51CC" w:rsidRPr="00731C06">
              <w:rPr>
                <w:rStyle w:val="Hipervnculo"/>
                <w:rFonts w:asciiTheme="minorHAnsi" w:hAnsiTheme="minorHAnsi" w:cstheme="minorHAnsi"/>
                <w:b/>
                <w:noProof/>
              </w:rPr>
              <w:t>11. Calificaciones otorgadas: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_Toc161472876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9</w:t>
            </w:r>
            <w:r w:rsidR="005F51CC" w:rsidRPr="00731C06">
              <w:rPr>
                <w:rFonts w:asciiTheme="minorHAnsi" w:hAnsiTheme="minorHAnsi"/>
                <w:noProof/>
                <w:webHidden/>
              </w:rPr>
              <w:fldChar w:fldCharType="end"/>
            </w:r>
          </w:hyperlink>
        </w:p>
        <w:p w14:paraId="68FD7A9A" w14:textId="2CE0C7FE"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7" w:history="1">
            <w:r w:rsidR="005F51CC" w:rsidRPr="00731C06">
              <w:rPr>
                <w:rStyle w:val="Hipervnculo"/>
                <w:rFonts w:asciiTheme="minorHAnsi" w:hAnsiTheme="minorHAnsi" w:cstheme="minorHAnsi"/>
                <w:b/>
                <w:noProof/>
              </w:rPr>
              <w:t>12. Proceso de Mejora:</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_Toc161472877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9</w:t>
            </w:r>
            <w:r w:rsidR="005F51CC" w:rsidRPr="00731C06">
              <w:rPr>
                <w:rFonts w:asciiTheme="minorHAnsi" w:hAnsiTheme="minorHAnsi"/>
                <w:noProof/>
                <w:webHidden/>
              </w:rPr>
              <w:fldChar w:fldCharType="end"/>
            </w:r>
          </w:hyperlink>
        </w:p>
        <w:p w14:paraId="5F55527F" w14:textId="527A5CEA"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8" w:history="1">
            <w:r w:rsidR="005F51CC" w:rsidRPr="00731C06">
              <w:rPr>
                <w:rStyle w:val="Hipervnculo"/>
                <w:rFonts w:asciiTheme="minorHAnsi" w:hAnsiTheme="minorHAnsi" w:cstheme="minorHAnsi"/>
                <w:b/>
                <w:noProof/>
              </w:rPr>
              <w:t>13. Información por Segmentos: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_Toc161472878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10</w:t>
            </w:r>
            <w:r w:rsidR="005F51CC" w:rsidRPr="00731C06">
              <w:rPr>
                <w:rFonts w:asciiTheme="minorHAnsi" w:hAnsiTheme="minorHAnsi"/>
                <w:noProof/>
                <w:webHidden/>
              </w:rPr>
              <w:fldChar w:fldCharType="end"/>
            </w:r>
          </w:hyperlink>
        </w:p>
        <w:p w14:paraId="674ABB69" w14:textId="7086AD9C"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79" w:history="1">
            <w:r w:rsidR="005F51CC" w:rsidRPr="00731C06">
              <w:rPr>
                <w:rStyle w:val="Hipervnculo"/>
                <w:rFonts w:asciiTheme="minorHAnsi" w:hAnsiTheme="minorHAnsi" w:cstheme="minorHAnsi"/>
                <w:b/>
                <w:noProof/>
              </w:rPr>
              <w:t>14. Eventos Posteriores al Cierre:</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_Toc161472879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10</w:t>
            </w:r>
            <w:r w:rsidR="005F51CC" w:rsidRPr="00731C06">
              <w:rPr>
                <w:rFonts w:asciiTheme="minorHAnsi" w:hAnsiTheme="minorHAnsi"/>
                <w:noProof/>
                <w:webHidden/>
              </w:rPr>
              <w:fldChar w:fldCharType="end"/>
            </w:r>
          </w:hyperlink>
        </w:p>
        <w:p w14:paraId="39048CDA" w14:textId="5AD0C96E"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80" w:history="1">
            <w:r w:rsidR="005F51CC" w:rsidRPr="00731C06">
              <w:rPr>
                <w:rStyle w:val="Hipervnculo"/>
                <w:rFonts w:asciiTheme="minorHAnsi" w:hAnsiTheme="minorHAnsi" w:cstheme="minorHAnsi"/>
                <w:b/>
                <w:noProof/>
              </w:rPr>
              <w:t>15. Partes Relacionadas:</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_Toc161472880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10</w:t>
            </w:r>
            <w:r w:rsidR="005F51CC" w:rsidRPr="00731C06">
              <w:rPr>
                <w:rFonts w:asciiTheme="minorHAnsi" w:hAnsiTheme="minorHAnsi"/>
                <w:noProof/>
                <w:webHidden/>
              </w:rPr>
              <w:fldChar w:fldCharType="end"/>
            </w:r>
          </w:hyperlink>
        </w:p>
        <w:p w14:paraId="7E9C5BA3" w14:textId="2249A661" w:rsidR="005F51CC" w:rsidRPr="00731C06" w:rsidRDefault="007947D7">
          <w:pPr>
            <w:pStyle w:val="TDC2"/>
            <w:tabs>
              <w:tab w:val="right" w:leader="dot" w:pos="9678"/>
            </w:tabs>
            <w:rPr>
              <w:rFonts w:asciiTheme="minorHAnsi" w:eastAsiaTheme="minorEastAsia" w:hAnsiTheme="minorHAnsi" w:cstheme="minorBidi"/>
              <w:noProof/>
              <w:kern w:val="2"/>
              <w:sz w:val="24"/>
              <w:szCs w:val="24"/>
              <w:lang w:eastAsia="es-MX"/>
              <w14:ligatures w14:val="standardContextual"/>
            </w:rPr>
          </w:pPr>
          <w:hyperlink w:anchor="_Toc161472881" w:history="1">
            <w:r w:rsidR="005F51CC" w:rsidRPr="00731C06">
              <w:rPr>
                <w:rStyle w:val="Hipervnculo"/>
                <w:rFonts w:asciiTheme="minorHAnsi" w:hAnsiTheme="minorHAnsi" w:cstheme="minorHAnsi"/>
                <w:b/>
                <w:noProof/>
              </w:rPr>
              <w:t>16. Responsabilidad Sobre la Presentación Razonable de la Información Contable:</w:t>
            </w:r>
            <w:r w:rsidR="005F51CC" w:rsidRPr="00731C06">
              <w:rPr>
                <w:rFonts w:asciiTheme="minorHAnsi" w:hAnsiTheme="minorHAnsi"/>
                <w:noProof/>
                <w:webHidden/>
              </w:rPr>
              <w:tab/>
            </w:r>
            <w:r w:rsidR="005F51CC" w:rsidRPr="00731C06">
              <w:rPr>
                <w:rFonts w:asciiTheme="minorHAnsi" w:hAnsiTheme="minorHAnsi"/>
                <w:noProof/>
                <w:webHidden/>
              </w:rPr>
              <w:fldChar w:fldCharType="begin"/>
            </w:r>
            <w:r w:rsidR="005F51CC" w:rsidRPr="00731C06">
              <w:rPr>
                <w:rFonts w:asciiTheme="minorHAnsi" w:hAnsiTheme="minorHAnsi"/>
                <w:noProof/>
                <w:webHidden/>
              </w:rPr>
              <w:instrText xml:space="preserve"> PAGEREF _Toc161472881 \h </w:instrText>
            </w:r>
            <w:r w:rsidR="005F51CC" w:rsidRPr="00731C06">
              <w:rPr>
                <w:rFonts w:asciiTheme="minorHAnsi" w:hAnsiTheme="minorHAnsi"/>
                <w:noProof/>
                <w:webHidden/>
              </w:rPr>
            </w:r>
            <w:r w:rsidR="005F51CC" w:rsidRPr="00731C06">
              <w:rPr>
                <w:rFonts w:asciiTheme="minorHAnsi" w:hAnsiTheme="minorHAnsi"/>
                <w:noProof/>
                <w:webHidden/>
              </w:rPr>
              <w:fldChar w:fldCharType="separate"/>
            </w:r>
            <w:r w:rsidR="005F51CC" w:rsidRPr="00731C06">
              <w:rPr>
                <w:rFonts w:asciiTheme="minorHAnsi" w:hAnsiTheme="minorHAnsi"/>
                <w:noProof/>
                <w:webHidden/>
              </w:rPr>
              <w:t>10</w:t>
            </w:r>
            <w:r w:rsidR="005F51CC" w:rsidRPr="00731C06">
              <w:rPr>
                <w:rFonts w:asciiTheme="minorHAnsi" w:hAnsiTheme="minorHAnsi"/>
                <w:noProof/>
                <w:webHidden/>
              </w:rPr>
              <w:fldChar w:fldCharType="end"/>
            </w:r>
          </w:hyperlink>
        </w:p>
        <w:p w14:paraId="43551857" w14:textId="4F747141" w:rsidR="00F46719" w:rsidRPr="00731C06" w:rsidRDefault="00F46719">
          <w:pPr>
            <w:rPr>
              <w:rFonts w:asciiTheme="minorHAnsi" w:hAnsiTheme="minorHAnsi"/>
            </w:rPr>
          </w:pPr>
          <w:r w:rsidRPr="00731C06">
            <w:rPr>
              <w:rFonts w:asciiTheme="minorHAnsi" w:hAnsiTheme="minorHAnsi"/>
              <w:b/>
              <w:bCs/>
              <w:lang w:val="es-ES"/>
            </w:rPr>
            <w:fldChar w:fldCharType="end"/>
          </w:r>
        </w:p>
      </w:sdtContent>
    </w:sdt>
    <w:p w14:paraId="54575967" w14:textId="09BF8276" w:rsidR="007D1E76" w:rsidRPr="00731C06" w:rsidRDefault="007E38A2" w:rsidP="000C3365">
      <w:pPr>
        <w:pStyle w:val="Ttulo2"/>
        <w:rPr>
          <w:rFonts w:asciiTheme="minorHAnsi" w:hAnsiTheme="minorHAnsi" w:cstheme="minorHAnsi"/>
          <w:b/>
          <w:color w:val="auto"/>
          <w:sz w:val="22"/>
        </w:rPr>
      </w:pPr>
      <w:bookmarkStart w:id="0" w:name="_Toc161472866"/>
      <w:r w:rsidRPr="00731C06">
        <w:rPr>
          <w:rFonts w:asciiTheme="minorHAnsi" w:hAnsiTheme="minorHAnsi" w:cstheme="minorHAnsi"/>
          <w:b/>
          <w:color w:val="auto"/>
          <w:sz w:val="22"/>
        </w:rPr>
        <w:lastRenderedPageBreak/>
        <w:t>1</w:t>
      </w:r>
      <w:r w:rsidR="007D1E76" w:rsidRPr="00731C06">
        <w:rPr>
          <w:rFonts w:asciiTheme="minorHAnsi" w:hAnsiTheme="minorHAnsi" w:cstheme="minorHAnsi"/>
          <w:b/>
          <w:color w:val="auto"/>
          <w:sz w:val="22"/>
        </w:rPr>
        <w:t>. Autoriza</w:t>
      </w:r>
      <w:r w:rsidR="00E00323" w:rsidRPr="00731C06">
        <w:rPr>
          <w:rFonts w:asciiTheme="minorHAnsi" w:hAnsiTheme="minorHAnsi" w:cstheme="minorHAnsi"/>
          <w:b/>
          <w:color w:val="auto"/>
          <w:sz w:val="22"/>
        </w:rPr>
        <w:t>ción e Historia:</w:t>
      </w:r>
      <w:bookmarkEnd w:id="0"/>
    </w:p>
    <w:p w14:paraId="360DA23B"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441574CB"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w:t>
      </w:r>
    </w:p>
    <w:p w14:paraId="062E74E7"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3F477DA3" w14:textId="4FE97561" w:rsidR="007D1E76" w:rsidRPr="00731C06" w:rsidRDefault="007D1E76" w:rsidP="004F58F7">
      <w:pPr>
        <w:pStyle w:val="Prrafodelista"/>
        <w:numPr>
          <w:ilvl w:val="0"/>
          <w:numId w:val="2"/>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Fecha de creación del ente</w:t>
      </w:r>
      <w:r w:rsidR="00F43AC5" w:rsidRPr="00731C06">
        <w:rPr>
          <w:rFonts w:asciiTheme="minorHAnsi" w:hAnsiTheme="minorHAnsi" w:cs="Calibri"/>
        </w:rPr>
        <w:t xml:space="preserve"> público.</w:t>
      </w:r>
    </w:p>
    <w:p w14:paraId="33BC0A72" w14:textId="77777777" w:rsidR="004F58F7" w:rsidRPr="00731C06" w:rsidRDefault="004F58F7" w:rsidP="004F58F7">
      <w:pPr>
        <w:pStyle w:val="Prrafodelista"/>
        <w:tabs>
          <w:tab w:val="left" w:leader="underscore" w:pos="9639"/>
        </w:tabs>
        <w:spacing w:after="0" w:line="240" w:lineRule="auto"/>
        <w:jc w:val="both"/>
        <w:rPr>
          <w:rFonts w:asciiTheme="minorHAnsi" w:hAnsiTheme="minorHAnsi" w:cs="Calibri"/>
        </w:rPr>
      </w:pPr>
    </w:p>
    <w:p w14:paraId="06822BCC" w14:textId="77777777" w:rsidR="004F58F7" w:rsidRPr="00731C06" w:rsidRDefault="004F58F7" w:rsidP="004F58F7">
      <w:pPr>
        <w:jc w:val="both"/>
        <w:rPr>
          <w:rFonts w:asciiTheme="minorHAnsi" w:hAnsiTheme="minorHAnsi" w:cs="Arial"/>
          <w:sz w:val="20"/>
          <w:szCs w:val="20"/>
        </w:rPr>
      </w:pPr>
      <w:r w:rsidRPr="00731C06">
        <w:rPr>
          <w:rFonts w:asciiTheme="minorHAnsi" w:hAnsiTheme="minorHAnsi" w:cs="Arial"/>
          <w:sz w:val="20"/>
          <w:szCs w:val="20"/>
        </w:rPr>
        <w:t>24 de Agosto de 2010</w:t>
      </w:r>
    </w:p>
    <w:p w14:paraId="4F52E4E0"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3A2353BF" w14:textId="75848AA2" w:rsidR="007D1E76" w:rsidRPr="00731C06" w:rsidRDefault="007D1E76" w:rsidP="004F58F7">
      <w:pPr>
        <w:pStyle w:val="Prrafodelista"/>
        <w:numPr>
          <w:ilvl w:val="0"/>
          <w:numId w:val="2"/>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Principales cambios en su estructura (interna históricamente).</w:t>
      </w:r>
    </w:p>
    <w:p w14:paraId="55B8BB58"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508E133A" w14:textId="0D3545D4" w:rsidR="004F58F7" w:rsidRPr="00731C06" w:rsidRDefault="004F58F7" w:rsidP="004F58F7">
      <w:pPr>
        <w:tabs>
          <w:tab w:val="left" w:leader="underscore" w:pos="9639"/>
        </w:tabs>
        <w:spacing w:after="0" w:line="240" w:lineRule="auto"/>
        <w:jc w:val="both"/>
        <w:rPr>
          <w:rFonts w:asciiTheme="minorHAnsi" w:hAnsiTheme="minorHAnsi" w:cs="Calibri"/>
        </w:rPr>
      </w:pPr>
      <w:r w:rsidRPr="00731C06">
        <w:rPr>
          <w:rFonts w:asciiTheme="minorHAnsi" w:hAnsiTheme="minorHAnsi" w:cs="Arial"/>
          <w:sz w:val="20"/>
          <w:szCs w:val="20"/>
        </w:rPr>
        <w:t xml:space="preserve">Hasta antes de la creación de la Academia, existía una Dirección de Área llamada Centro de Formación Policial </w:t>
      </w:r>
      <w:r w:rsidR="000C2258" w:rsidRPr="00731C06">
        <w:rPr>
          <w:rFonts w:asciiTheme="minorHAnsi" w:hAnsiTheme="minorHAnsi" w:cs="Arial"/>
          <w:sz w:val="20"/>
          <w:szCs w:val="20"/>
        </w:rPr>
        <w:t>o</w:t>
      </w:r>
      <w:r w:rsidRPr="00731C06">
        <w:rPr>
          <w:rFonts w:asciiTheme="minorHAnsi" w:hAnsiTheme="minorHAnsi" w:cs="Arial"/>
          <w:sz w:val="20"/>
          <w:szCs w:val="20"/>
        </w:rPr>
        <w:t xml:space="preserve"> CEFOPOL que pertenecía a la Secretaría de Seguridad Pública; a partir de la aprobación del Reglamento de la Academia, el CEFOPOL se transforma en la Academia. Esta Academia genera a partir de entonces su estructura organizacional conforme de menciona en el inciso f) del punto</w:t>
      </w:r>
    </w:p>
    <w:p w14:paraId="7B5B2A59" w14:textId="77777777" w:rsidR="004F58F7" w:rsidRPr="00731C06" w:rsidRDefault="004F58F7" w:rsidP="00CB41C4">
      <w:pPr>
        <w:tabs>
          <w:tab w:val="left" w:leader="underscore" w:pos="9639"/>
        </w:tabs>
        <w:spacing w:after="0" w:line="240" w:lineRule="auto"/>
        <w:jc w:val="both"/>
        <w:rPr>
          <w:rFonts w:asciiTheme="minorHAnsi" w:hAnsiTheme="minorHAnsi" w:cs="Calibri"/>
        </w:rPr>
      </w:pPr>
    </w:p>
    <w:p w14:paraId="0F70F82D" w14:textId="77777777" w:rsidR="004F58F7" w:rsidRPr="00731C06" w:rsidRDefault="004F58F7" w:rsidP="004F58F7">
      <w:pPr>
        <w:spacing w:after="0" w:line="240" w:lineRule="auto"/>
        <w:jc w:val="both"/>
        <w:rPr>
          <w:rFonts w:asciiTheme="minorHAnsi" w:hAnsiTheme="minorHAnsi" w:cs="Calibri"/>
        </w:rPr>
      </w:pPr>
      <w:r w:rsidRPr="00731C06">
        <w:rPr>
          <w:rFonts w:asciiTheme="minorHAnsi" w:hAnsiTheme="minorHAnsi" w:cs="Calibri"/>
        </w:rPr>
        <w:t>La Academia realiza las actividades de diseñar e implementar procesos de planeación, reclutamiento, selección, formación inicial y continua, certificación, ingreso, asimilación, permanencia, reconocimientos, estímulos-recompensas y conclusión del Servicio de los elementos que integran los cuerpos de seguridad pública del Municipio de León, Guanajuato y Zona Metropolitana</w:t>
      </w:r>
    </w:p>
    <w:p w14:paraId="09197D91" w14:textId="77777777" w:rsidR="004F58F7" w:rsidRPr="00731C06" w:rsidRDefault="004F58F7" w:rsidP="004F58F7">
      <w:pPr>
        <w:spacing w:after="0" w:line="240" w:lineRule="auto"/>
        <w:jc w:val="both"/>
        <w:rPr>
          <w:rFonts w:asciiTheme="minorHAnsi" w:hAnsiTheme="minorHAnsi" w:cs="Calibri"/>
        </w:rPr>
      </w:pPr>
    </w:p>
    <w:p w14:paraId="5A494C73" w14:textId="7B672A6D" w:rsidR="00BE02EB" w:rsidRPr="00731C06" w:rsidRDefault="00BE02EB" w:rsidP="000C3365">
      <w:pPr>
        <w:pStyle w:val="Ttulo2"/>
        <w:rPr>
          <w:rFonts w:asciiTheme="minorHAnsi" w:hAnsiTheme="minorHAnsi" w:cstheme="minorHAnsi"/>
          <w:b/>
          <w:color w:val="auto"/>
          <w:sz w:val="22"/>
        </w:rPr>
      </w:pPr>
      <w:bookmarkStart w:id="1" w:name="_Toc161472867"/>
      <w:r w:rsidRPr="00731C06">
        <w:rPr>
          <w:rFonts w:asciiTheme="minorHAnsi" w:hAnsiTheme="minorHAnsi" w:cstheme="minorHAnsi"/>
          <w:b/>
          <w:color w:val="auto"/>
          <w:sz w:val="22"/>
        </w:rPr>
        <w:t xml:space="preserve">2. </w:t>
      </w:r>
      <w:r w:rsidR="00B6368B" w:rsidRPr="00731C06">
        <w:rPr>
          <w:rFonts w:asciiTheme="minorHAnsi" w:hAnsiTheme="minorHAnsi" w:cstheme="minorHAnsi"/>
          <w:b/>
          <w:color w:val="auto"/>
          <w:sz w:val="22"/>
        </w:rPr>
        <w:t>Panorama Económico y Financiero</w:t>
      </w:r>
      <w:bookmarkEnd w:id="1"/>
    </w:p>
    <w:p w14:paraId="548FE5C0" w14:textId="3C95EB09" w:rsidR="00516A8F" w:rsidRPr="00731C06" w:rsidRDefault="0012493A" w:rsidP="00516A8F">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 las principales condiciones económico-financieras bajo las cuales el ente público estuvo operando; y las cuales influyeron en la toma de decisiones de la administración; tanto a nivel local como federal.</w:t>
      </w:r>
    </w:p>
    <w:p w14:paraId="1E27BAAF" w14:textId="77777777" w:rsidR="004F58F7" w:rsidRPr="00731C06" w:rsidRDefault="004F58F7" w:rsidP="00516A8F">
      <w:pPr>
        <w:tabs>
          <w:tab w:val="left" w:leader="underscore" w:pos="9639"/>
        </w:tabs>
        <w:spacing w:after="0" w:line="240" w:lineRule="auto"/>
        <w:jc w:val="both"/>
        <w:rPr>
          <w:rFonts w:asciiTheme="minorHAnsi" w:hAnsiTheme="minorHAnsi" w:cs="Calibri"/>
        </w:rPr>
      </w:pPr>
    </w:p>
    <w:p w14:paraId="5C03C665" w14:textId="77777777" w:rsidR="004F58F7" w:rsidRPr="00731C06" w:rsidRDefault="004F58F7" w:rsidP="004F58F7">
      <w:pPr>
        <w:tabs>
          <w:tab w:val="left" w:leader="underscore" w:pos="9639"/>
        </w:tabs>
        <w:spacing w:after="0" w:line="240" w:lineRule="auto"/>
        <w:jc w:val="both"/>
        <w:rPr>
          <w:rFonts w:asciiTheme="minorHAnsi" w:hAnsiTheme="minorHAnsi" w:cs="Arial"/>
          <w:sz w:val="20"/>
          <w:szCs w:val="20"/>
        </w:rPr>
      </w:pPr>
      <w:r w:rsidRPr="00731C06">
        <w:rPr>
          <w:rFonts w:asciiTheme="minorHAnsi" w:hAnsiTheme="minorHAnsi" w:cs="Arial"/>
          <w:sz w:val="20"/>
          <w:szCs w:val="20"/>
        </w:rPr>
        <w:t>En las actividades de planeación, reclutamiento, selección, formación inicial recibe subsidio del Municipio de León para ser aplicado en sus cuerpos de seguridad. En la actualidad, además, la Academia presta servicios tanto al Municipio de León, sus entidades de seguridad pública, así como a otros municipios del Estado de Guanajuato en la impartición de profesionalización en el programa SUBSEMUN, por lo que la prestación de servicios está retribuida con este recurso</w:t>
      </w:r>
    </w:p>
    <w:p w14:paraId="0305CEA0" w14:textId="77777777" w:rsidR="0012493A" w:rsidRPr="00731C06" w:rsidRDefault="0012493A" w:rsidP="00516A8F">
      <w:pPr>
        <w:tabs>
          <w:tab w:val="left" w:leader="underscore" w:pos="9639"/>
        </w:tabs>
        <w:spacing w:after="0" w:line="240" w:lineRule="auto"/>
        <w:jc w:val="both"/>
        <w:rPr>
          <w:rFonts w:asciiTheme="minorHAnsi" w:hAnsiTheme="minorHAnsi" w:cs="Calibri"/>
        </w:rPr>
      </w:pPr>
    </w:p>
    <w:p w14:paraId="08136E94" w14:textId="2B775A1C" w:rsidR="007D1E76" w:rsidRPr="00731C06" w:rsidRDefault="009736CB" w:rsidP="000C3365">
      <w:pPr>
        <w:pStyle w:val="Ttulo2"/>
        <w:rPr>
          <w:rFonts w:asciiTheme="minorHAnsi" w:hAnsiTheme="minorHAnsi" w:cstheme="minorHAnsi"/>
          <w:b/>
          <w:color w:val="auto"/>
          <w:sz w:val="22"/>
        </w:rPr>
      </w:pPr>
      <w:bookmarkStart w:id="2" w:name="_Toc161472868"/>
      <w:r w:rsidRPr="00731C06">
        <w:rPr>
          <w:rFonts w:asciiTheme="minorHAnsi" w:hAnsiTheme="minorHAnsi" w:cstheme="minorHAnsi"/>
          <w:b/>
          <w:color w:val="auto"/>
          <w:sz w:val="22"/>
        </w:rPr>
        <w:t>3</w:t>
      </w:r>
      <w:r w:rsidR="007D1E76" w:rsidRPr="00731C06">
        <w:rPr>
          <w:rFonts w:asciiTheme="minorHAnsi" w:hAnsiTheme="minorHAnsi" w:cstheme="minorHAnsi"/>
          <w:b/>
          <w:color w:val="auto"/>
          <w:sz w:val="22"/>
        </w:rPr>
        <w:t xml:space="preserve">. </w:t>
      </w:r>
      <w:r w:rsidR="00E00323" w:rsidRPr="00731C06">
        <w:rPr>
          <w:rFonts w:asciiTheme="minorHAnsi" w:hAnsiTheme="minorHAnsi" w:cstheme="minorHAnsi"/>
          <w:b/>
          <w:color w:val="auto"/>
          <w:sz w:val="22"/>
        </w:rPr>
        <w:t>Organización y Objeto Social:</w:t>
      </w:r>
      <w:bookmarkEnd w:id="2"/>
    </w:p>
    <w:p w14:paraId="6C85E52D"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7B5DF23"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w:t>
      </w:r>
    </w:p>
    <w:p w14:paraId="473E4237"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3A7F2587" w14:textId="4090B3D0" w:rsidR="007D1E76" w:rsidRPr="00731C06" w:rsidRDefault="007D1E76" w:rsidP="004F58F7">
      <w:pPr>
        <w:pStyle w:val="Prrafodelista"/>
        <w:numPr>
          <w:ilvl w:val="0"/>
          <w:numId w:val="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Objeto social.</w:t>
      </w:r>
    </w:p>
    <w:p w14:paraId="1FE5739B"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0B7E6D59" w14:textId="77777777" w:rsidR="004F58F7" w:rsidRPr="00731C06" w:rsidRDefault="004F58F7" w:rsidP="004F58F7">
      <w:pPr>
        <w:jc w:val="both"/>
        <w:rPr>
          <w:rFonts w:asciiTheme="minorHAnsi" w:hAnsiTheme="minorHAnsi" w:cs="Arial"/>
          <w:sz w:val="20"/>
          <w:szCs w:val="20"/>
        </w:rPr>
      </w:pPr>
      <w:r w:rsidRPr="00731C06">
        <w:rPr>
          <w:rFonts w:asciiTheme="minorHAnsi" w:hAnsiTheme="minorHAnsi" w:cs="Arial"/>
          <w:sz w:val="20"/>
          <w:szCs w:val="20"/>
        </w:rPr>
        <w:t>Se crea la Academia como un organismo público descentralizado de la Administración Pública Municipal de León, Guanajuato, con personalidad jurídica y patrimonio propio; el cual tendrá por objeto diseñar e implementar procesos de planeación, reclutamiento, selección, formación inicial y continua, certificación, ingreso, asimilación, permanencia, reconocimientos, estímulos-recompensas y conclusión del Servicio de los elementos que integran los cuerpos de seguridad pública del Municipio de León, Guanajuato y Zona Metropolitana.</w:t>
      </w:r>
    </w:p>
    <w:p w14:paraId="2C110A08" w14:textId="2E440DAB" w:rsidR="007D1E76" w:rsidRPr="00731C06" w:rsidRDefault="007D1E76" w:rsidP="004F58F7">
      <w:pPr>
        <w:pStyle w:val="Prrafodelista"/>
        <w:numPr>
          <w:ilvl w:val="0"/>
          <w:numId w:val="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Principal actividad.</w:t>
      </w:r>
    </w:p>
    <w:p w14:paraId="2925E80D"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75F057F1" w14:textId="77777777" w:rsidR="004F58F7" w:rsidRPr="00731C06" w:rsidRDefault="004F58F7" w:rsidP="004F58F7">
      <w:pPr>
        <w:jc w:val="both"/>
        <w:rPr>
          <w:rFonts w:asciiTheme="minorHAnsi" w:hAnsiTheme="minorHAnsi" w:cs="Arial"/>
          <w:sz w:val="20"/>
          <w:szCs w:val="20"/>
        </w:rPr>
      </w:pPr>
      <w:r w:rsidRPr="00731C06">
        <w:rPr>
          <w:rFonts w:asciiTheme="minorHAnsi" w:hAnsiTheme="minorHAnsi" w:cs="Arial"/>
          <w:sz w:val="20"/>
          <w:szCs w:val="20"/>
        </w:rPr>
        <w:t>Reclutar, seleccionar e impartir formación inicial y continua, así como control de la carrera policial de los cuerpos de seguridad.</w:t>
      </w:r>
    </w:p>
    <w:p w14:paraId="2D21CE61" w14:textId="5ACC8FFB" w:rsidR="007D1E76" w:rsidRPr="00731C06" w:rsidRDefault="007D1E76" w:rsidP="004F58F7">
      <w:pPr>
        <w:pStyle w:val="Prrafodelista"/>
        <w:numPr>
          <w:ilvl w:val="0"/>
          <w:numId w:val="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lastRenderedPageBreak/>
        <w:t>Ejercicio fiscal (</w:t>
      </w:r>
      <w:r w:rsidR="00CB41C4" w:rsidRPr="00731C06">
        <w:rPr>
          <w:rFonts w:asciiTheme="minorHAnsi" w:hAnsiTheme="minorHAnsi" w:cs="Calibri"/>
        </w:rPr>
        <w:t>mencionar,</w:t>
      </w:r>
      <w:r w:rsidRPr="00731C06">
        <w:rPr>
          <w:rFonts w:asciiTheme="minorHAnsi" w:hAnsiTheme="minorHAnsi" w:cs="Calibri"/>
        </w:rPr>
        <w:t xml:space="preserve"> por ejemplo: enero a diciembre de 20</w:t>
      </w:r>
      <w:r w:rsidR="009736CB" w:rsidRPr="00731C06">
        <w:rPr>
          <w:rFonts w:asciiTheme="minorHAnsi" w:hAnsiTheme="minorHAnsi" w:cs="Calibri"/>
        </w:rPr>
        <w:t>24</w:t>
      </w:r>
      <w:r w:rsidRPr="00731C06">
        <w:rPr>
          <w:rFonts w:asciiTheme="minorHAnsi" w:hAnsiTheme="minorHAnsi" w:cs="Calibri"/>
        </w:rPr>
        <w:t>).</w:t>
      </w:r>
    </w:p>
    <w:p w14:paraId="5245CCBF"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745F32A1" w14:textId="78AE9EB0" w:rsidR="004F58F7" w:rsidRPr="00731C06" w:rsidRDefault="004F58F7" w:rsidP="004F58F7">
      <w:pPr>
        <w:jc w:val="both"/>
        <w:rPr>
          <w:rFonts w:asciiTheme="minorHAnsi" w:hAnsiTheme="minorHAnsi" w:cs="Arial"/>
          <w:sz w:val="20"/>
          <w:szCs w:val="20"/>
        </w:rPr>
      </w:pPr>
      <w:r w:rsidRPr="00731C06">
        <w:rPr>
          <w:rFonts w:asciiTheme="minorHAnsi" w:hAnsiTheme="minorHAnsi" w:cs="Arial"/>
          <w:sz w:val="20"/>
          <w:szCs w:val="20"/>
        </w:rPr>
        <w:t>01 de Enero de 2023 al 31 de Diciembre de 2024.</w:t>
      </w:r>
    </w:p>
    <w:p w14:paraId="16703E54"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B13C93F" w14:textId="2C63EA41" w:rsidR="007D1E76" w:rsidRPr="00731C06" w:rsidRDefault="007D1E76" w:rsidP="004F58F7">
      <w:pPr>
        <w:pStyle w:val="Prrafodelista"/>
        <w:numPr>
          <w:ilvl w:val="0"/>
          <w:numId w:val="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Régimen jurídico (Forma como está dada de alta la entidad ante la S.H.C.P., ejemplos: S.C., S.A., Personas morales sin fines de lucro, etc.).</w:t>
      </w:r>
    </w:p>
    <w:p w14:paraId="26D3F4D2"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103B89C1" w14:textId="77777777" w:rsidR="004F58F7" w:rsidRPr="00731C06" w:rsidRDefault="004F58F7" w:rsidP="004F58F7">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Régimen jurídico (Forma como está dada de alta la entidad ante la S.H.C.P., ejemplos: S.C., S.A., Personas morales sin fines de lucro, etc.).</w:t>
      </w:r>
    </w:p>
    <w:p w14:paraId="07B6A194" w14:textId="77777777" w:rsidR="006C12E6" w:rsidRPr="00731C06" w:rsidRDefault="006C12E6" w:rsidP="004F58F7">
      <w:pPr>
        <w:tabs>
          <w:tab w:val="left" w:leader="underscore" w:pos="9639"/>
        </w:tabs>
        <w:spacing w:after="0" w:line="240" w:lineRule="auto"/>
        <w:jc w:val="both"/>
        <w:rPr>
          <w:rFonts w:asciiTheme="minorHAnsi" w:hAnsiTheme="minorHAnsi" w:cs="Calibri"/>
        </w:rPr>
      </w:pPr>
    </w:p>
    <w:p w14:paraId="68B22724" w14:textId="4F098DCB" w:rsidR="007D1E76" w:rsidRPr="00731C06" w:rsidRDefault="00B145A7" w:rsidP="004F58F7">
      <w:pPr>
        <w:tabs>
          <w:tab w:val="left" w:leader="underscore" w:pos="9639"/>
        </w:tabs>
        <w:spacing w:after="0" w:line="240" w:lineRule="auto"/>
        <w:jc w:val="both"/>
        <w:rPr>
          <w:rFonts w:asciiTheme="minorHAnsi" w:hAnsiTheme="minorHAnsi" w:cs="Arial"/>
          <w:b/>
          <w:bCs/>
          <w:sz w:val="20"/>
          <w:szCs w:val="20"/>
        </w:rPr>
      </w:pPr>
      <w:r w:rsidRPr="00731C06">
        <w:rPr>
          <w:rFonts w:asciiTheme="minorHAnsi" w:hAnsiTheme="minorHAnsi" w:cs="Arial"/>
          <w:sz w:val="20"/>
          <w:szCs w:val="20"/>
        </w:rPr>
        <w:t xml:space="preserve">Régimen jurídico registrado como Persona Moral con Fines no Lucrativos la cual se encarga de </w:t>
      </w:r>
      <w:r w:rsidR="004F58F7" w:rsidRPr="00731C06">
        <w:rPr>
          <w:rFonts w:asciiTheme="minorHAnsi" w:hAnsiTheme="minorHAnsi" w:cs="Arial"/>
          <w:sz w:val="20"/>
          <w:szCs w:val="20"/>
        </w:rPr>
        <w:t xml:space="preserve">Reclutar, seleccionar e impartir formación inicial y continua, así como control de la carrera policial de los cuerpos de seguridad y la </w:t>
      </w:r>
      <w:r w:rsidR="000C2258" w:rsidRPr="00731C06">
        <w:rPr>
          <w:rFonts w:asciiTheme="minorHAnsi" w:hAnsiTheme="minorHAnsi" w:cs="Arial"/>
          <w:b/>
          <w:bCs/>
          <w:sz w:val="20"/>
          <w:szCs w:val="20"/>
        </w:rPr>
        <w:t>L</w:t>
      </w:r>
      <w:r w:rsidR="004F58F7" w:rsidRPr="00731C06">
        <w:rPr>
          <w:rFonts w:asciiTheme="minorHAnsi" w:hAnsiTheme="minorHAnsi" w:cs="Arial"/>
          <w:b/>
          <w:bCs/>
          <w:sz w:val="20"/>
          <w:szCs w:val="20"/>
        </w:rPr>
        <w:t xml:space="preserve">icenciatura en Derecho con Enfoque en Seguridad Pública, </w:t>
      </w:r>
      <w:r w:rsidR="000C2258" w:rsidRPr="00731C06">
        <w:rPr>
          <w:rFonts w:asciiTheme="minorHAnsi" w:hAnsiTheme="minorHAnsi" w:cs="Arial"/>
          <w:b/>
          <w:bCs/>
          <w:sz w:val="20"/>
          <w:szCs w:val="20"/>
        </w:rPr>
        <w:t>L</w:t>
      </w:r>
      <w:r w:rsidR="004F58F7" w:rsidRPr="00731C06">
        <w:rPr>
          <w:rFonts w:asciiTheme="minorHAnsi" w:hAnsiTheme="minorHAnsi" w:cs="Arial"/>
          <w:b/>
          <w:bCs/>
          <w:sz w:val="20"/>
          <w:szCs w:val="20"/>
        </w:rPr>
        <w:t xml:space="preserve">icenciatura en </w:t>
      </w:r>
      <w:r w:rsidR="000C2258" w:rsidRPr="00731C06">
        <w:rPr>
          <w:rFonts w:asciiTheme="minorHAnsi" w:hAnsiTheme="minorHAnsi" w:cs="Arial"/>
          <w:b/>
          <w:bCs/>
          <w:sz w:val="20"/>
          <w:szCs w:val="20"/>
        </w:rPr>
        <w:t>Criminología con Enfoque en Seguridad Ciudadana, L</w:t>
      </w:r>
      <w:r w:rsidR="004F58F7" w:rsidRPr="00731C06">
        <w:rPr>
          <w:rFonts w:asciiTheme="minorHAnsi" w:hAnsiTheme="minorHAnsi" w:cs="Arial"/>
          <w:b/>
          <w:bCs/>
          <w:sz w:val="20"/>
          <w:szCs w:val="20"/>
        </w:rPr>
        <w:t xml:space="preserve">icenciatura en </w:t>
      </w:r>
      <w:r w:rsidR="009156F8" w:rsidRPr="00731C06">
        <w:rPr>
          <w:rFonts w:asciiTheme="minorHAnsi" w:hAnsiTheme="minorHAnsi" w:cs="Arial"/>
          <w:b/>
          <w:bCs/>
          <w:sz w:val="20"/>
          <w:szCs w:val="20"/>
        </w:rPr>
        <w:t>M</w:t>
      </w:r>
      <w:r w:rsidR="000C2258" w:rsidRPr="00731C06">
        <w:rPr>
          <w:rFonts w:asciiTheme="minorHAnsi" w:hAnsiTheme="minorHAnsi" w:cs="Arial"/>
          <w:b/>
          <w:bCs/>
          <w:sz w:val="20"/>
          <w:szCs w:val="20"/>
        </w:rPr>
        <w:t xml:space="preserve">ovilidad y </w:t>
      </w:r>
      <w:r w:rsidR="009156F8" w:rsidRPr="00731C06">
        <w:rPr>
          <w:rFonts w:asciiTheme="minorHAnsi" w:hAnsiTheme="minorHAnsi" w:cs="Arial"/>
          <w:b/>
          <w:bCs/>
          <w:sz w:val="20"/>
          <w:szCs w:val="20"/>
        </w:rPr>
        <w:t>U</w:t>
      </w:r>
      <w:r w:rsidR="000C2258" w:rsidRPr="00731C06">
        <w:rPr>
          <w:rFonts w:asciiTheme="minorHAnsi" w:hAnsiTheme="minorHAnsi" w:cs="Arial"/>
          <w:b/>
          <w:bCs/>
          <w:sz w:val="20"/>
          <w:szCs w:val="20"/>
        </w:rPr>
        <w:t xml:space="preserve">rbanismo con </w:t>
      </w:r>
      <w:r w:rsidR="009156F8" w:rsidRPr="00731C06">
        <w:rPr>
          <w:rFonts w:asciiTheme="minorHAnsi" w:hAnsiTheme="minorHAnsi" w:cs="Arial"/>
          <w:b/>
          <w:bCs/>
          <w:sz w:val="20"/>
          <w:szCs w:val="20"/>
        </w:rPr>
        <w:t>E</w:t>
      </w:r>
      <w:r w:rsidR="000C2258" w:rsidRPr="00731C06">
        <w:rPr>
          <w:rFonts w:asciiTheme="minorHAnsi" w:hAnsiTheme="minorHAnsi" w:cs="Arial"/>
          <w:b/>
          <w:bCs/>
          <w:sz w:val="20"/>
          <w:szCs w:val="20"/>
        </w:rPr>
        <w:t xml:space="preserve">nfoque en </w:t>
      </w:r>
      <w:r w:rsidR="009156F8" w:rsidRPr="00731C06">
        <w:rPr>
          <w:rFonts w:asciiTheme="minorHAnsi" w:hAnsiTheme="minorHAnsi" w:cs="Arial"/>
          <w:b/>
          <w:bCs/>
          <w:sz w:val="20"/>
          <w:szCs w:val="20"/>
        </w:rPr>
        <w:t>S</w:t>
      </w:r>
      <w:r w:rsidR="000C2258" w:rsidRPr="00731C06">
        <w:rPr>
          <w:rFonts w:asciiTheme="minorHAnsi" w:hAnsiTheme="minorHAnsi" w:cs="Arial"/>
          <w:b/>
          <w:bCs/>
          <w:sz w:val="20"/>
          <w:szCs w:val="20"/>
        </w:rPr>
        <w:t xml:space="preserve">eguridad </w:t>
      </w:r>
      <w:r w:rsidR="009156F8" w:rsidRPr="00731C06">
        <w:rPr>
          <w:rFonts w:asciiTheme="minorHAnsi" w:hAnsiTheme="minorHAnsi" w:cs="Arial"/>
          <w:b/>
          <w:bCs/>
          <w:sz w:val="20"/>
          <w:szCs w:val="20"/>
        </w:rPr>
        <w:t>V</w:t>
      </w:r>
      <w:r w:rsidR="000C2258" w:rsidRPr="00731C06">
        <w:rPr>
          <w:rFonts w:asciiTheme="minorHAnsi" w:hAnsiTheme="minorHAnsi" w:cs="Arial"/>
          <w:b/>
          <w:bCs/>
          <w:sz w:val="20"/>
          <w:szCs w:val="20"/>
        </w:rPr>
        <w:t xml:space="preserve">ial, </w:t>
      </w:r>
      <w:r w:rsidR="009156F8" w:rsidRPr="00731C06">
        <w:rPr>
          <w:rFonts w:asciiTheme="minorHAnsi" w:hAnsiTheme="minorHAnsi" w:cs="Arial"/>
          <w:b/>
          <w:bCs/>
          <w:sz w:val="20"/>
          <w:szCs w:val="20"/>
        </w:rPr>
        <w:t>Ingeniería en Telecomunicaciones con Enfoque en Ciberseguridad, Licenciatura en Administración con Enfoque en Gerencia Estratégica</w:t>
      </w:r>
    </w:p>
    <w:p w14:paraId="41FDBFC2"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15948964" w14:textId="4D517DED" w:rsidR="007D1E76" w:rsidRPr="00731C06" w:rsidRDefault="007D1E76" w:rsidP="004F58F7">
      <w:pPr>
        <w:pStyle w:val="Prrafodelista"/>
        <w:numPr>
          <w:ilvl w:val="0"/>
          <w:numId w:val="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Consideraciones fiscales del ente: </w:t>
      </w:r>
      <w:r w:rsidR="00657009" w:rsidRPr="00731C06">
        <w:rPr>
          <w:rFonts w:asciiTheme="minorHAnsi" w:hAnsiTheme="minorHAnsi" w:cs="Calibri"/>
        </w:rPr>
        <w:t>R</w:t>
      </w:r>
      <w:r w:rsidRPr="00731C06">
        <w:rPr>
          <w:rFonts w:asciiTheme="minorHAnsi" w:hAnsiTheme="minorHAnsi" w:cs="Calibri"/>
        </w:rPr>
        <w:t>evelar el tipo de contribuciones que esté obligado a pagar o retener.</w:t>
      </w:r>
    </w:p>
    <w:p w14:paraId="3D5DAA0D" w14:textId="77777777" w:rsidR="004F58F7" w:rsidRPr="00731C06" w:rsidRDefault="004F58F7" w:rsidP="004F58F7">
      <w:pPr>
        <w:tabs>
          <w:tab w:val="left" w:leader="underscore" w:pos="9639"/>
        </w:tabs>
        <w:spacing w:after="0" w:line="240" w:lineRule="auto"/>
        <w:jc w:val="both"/>
        <w:rPr>
          <w:rFonts w:asciiTheme="minorHAnsi" w:hAnsiTheme="minorHAnsi" w:cs="Calibri"/>
        </w:rPr>
      </w:pPr>
    </w:p>
    <w:p w14:paraId="7E6777B9" w14:textId="54290DB1" w:rsidR="007D1E76" w:rsidRPr="00731C06" w:rsidRDefault="004F58F7"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Arial"/>
          <w:sz w:val="20"/>
          <w:szCs w:val="20"/>
        </w:rPr>
        <w:t>Retenciones de impuesto sobre la renta por sueldos y salarios, retenciones por servicios profesionales, pago de impuesto al valor agregado cuando tenga actividades gravadas del mismo</w:t>
      </w:r>
    </w:p>
    <w:p w14:paraId="6268EF7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EB77A6D"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b/>
        </w:rPr>
        <w:t>f)</w:t>
      </w:r>
      <w:r w:rsidRPr="00731C06">
        <w:rPr>
          <w:rFonts w:asciiTheme="minorHAnsi" w:hAnsiTheme="minorHAnsi" w:cs="Calibri"/>
        </w:rPr>
        <w:t xml:space="preserve"> Estructura organizacional básica.</w:t>
      </w:r>
    </w:p>
    <w:p w14:paraId="0FE08B68" w14:textId="77777777" w:rsidR="007D1E76" w:rsidRPr="00731C06" w:rsidRDefault="007D1E76" w:rsidP="00CB41C4">
      <w:pPr>
        <w:tabs>
          <w:tab w:val="left" w:leader="underscore" w:pos="9639"/>
        </w:tabs>
        <w:spacing w:after="0" w:line="240" w:lineRule="auto"/>
        <w:ind w:firstLine="708"/>
        <w:jc w:val="both"/>
        <w:rPr>
          <w:rFonts w:asciiTheme="minorHAnsi" w:hAnsiTheme="minorHAnsi" w:cs="Calibri"/>
        </w:rPr>
      </w:pPr>
      <w:r w:rsidRPr="00731C06">
        <w:rPr>
          <w:rFonts w:asciiTheme="minorHAnsi" w:hAnsiTheme="minorHAnsi" w:cs="Calibri"/>
        </w:rPr>
        <w:t>*Anexar organigrama de la entidad.</w:t>
      </w:r>
    </w:p>
    <w:p w14:paraId="3E68EB4A" w14:textId="77777777" w:rsidR="005D586F" w:rsidRPr="00731C06" w:rsidRDefault="005D586F" w:rsidP="00CB41C4">
      <w:pPr>
        <w:tabs>
          <w:tab w:val="left" w:leader="underscore" w:pos="9639"/>
        </w:tabs>
        <w:spacing w:after="0" w:line="240" w:lineRule="auto"/>
        <w:ind w:firstLine="708"/>
        <w:jc w:val="both"/>
        <w:rPr>
          <w:rFonts w:asciiTheme="minorHAnsi" w:hAnsiTheme="minorHAnsi" w:cs="Calibri"/>
        </w:rPr>
      </w:pPr>
    </w:p>
    <w:p w14:paraId="4A156C7E" w14:textId="183B2F31" w:rsidR="005D586F" w:rsidRPr="00731C06" w:rsidRDefault="00B771BF" w:rsidP="00B771BF">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drawing>
          <wp:inline distT="0" distB="0" distL="0" distR="0" wp14:anchorId="3927BFD6" wp14:editId="0942EE5B">
            <wp:extent cx="6152005" cy="29718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52005" cy="2971800"/>
                    </a:xfrm>
                    <a:prstGeom prst="rect">
                      <a:avLst/>
                    </a:prstGeom>
                    <a:noFill/>
                    <a:ln>
                      <a:noFill/>
                    </a:ln>
                  </pic:spPr>
                </pic:pic>
              </a:graphicData>
            </a:graphic>
          </wp:inline>
        </w:drawing>
      </w:r>
    </w:p>
    <w:p w14:paraId="402CD14D" w14:textId="25D8C52E" w:rsidR="00CB41C4" w:rsidRPr="00731C06" w:rsidRDefault="00B771B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lastRenderedPageBreak/>
        <w:drawing>
          <wp:inline distT="0" distB="0" distL="0" distR="0" wp14:anchorId="34C07E42" wp14:editId="58EDAD36">
            <wp:extent cx="6152003" cy="261937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8818" b="11423"/>
                    <a:stretch/>
                  </pic:blipFill>
                  <pic:spPr bwMode="auto">
                    <a:xfrm>
                      <a:off x="0" y="0"/>
                      <a:ext cx="6151880" cy="2619323"/>
                    </a:xfrm>
                    <a:prstGeom prst="rect">
                      <a:avLst/>
                    </a:prstGeom>
                    <a:noFill/>
                    <a:ln>
                      <a:noFill/>
                    </a:ln>
                    <a:extLst>
                      <a:ext uri="{53640926-AAD7-44D8-BBD7-CCE9431645EC}">
                        <a14:shadowObscured xmlns:a14="http://schemas.microsoft.com/office/drawing/2010/main"/>
                      </a:ext>
                    </a:extLst>
                  </pic:spPr>
                </pic:pic>
              </a:graphicData>
            </a:graphic>
          </wp:inline>
        </w:drawing>
      </w:r>
    </w:p>
    <w:p w14:paraId="1D8FFCA2" w14:textId="7BC97FA0" w:rsidR="00B771BF" w:rsidRPr="00731C06" w:rsidRDefault="00B771B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drawing>
          <wp:inline distT="0" distB="0" distL="0" distR="0" wp14:anchorId="0537B965" wp14:editId="52B18550">
            <wp:extent cx="6152006" cy="268605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223" b="21772"/>
                    <a:stretch/>
                  </pic:blipFill>
                  <pic:spPr bwMode="auto">
                    <a:xfrm>
                      <a:off x="0" y="0"/>
                      <a:ext cx="6151880" cy="2685995"/>
                    </a:xfrm>
                    <a:prstGeom prst="rect">
                      <a:avLst/>
                    </a:prstGeom>
                    <a:noFill/>
                    <a:ln>
                      <a:noFill/>
                    </a:ln>
                    <a:extLst>
                      <a:ext uri="{53640926-AAD7-44D8-BBD7-CCE9431645EC}">
                        <a14:shadowObscured xmlns:a14="http://schemas.microsoft.com/office/drawing/2010/main"/>
                      </a:ext>
                    </a:extLst>
                  </pic:spPr>
                </pic:pic>
              </a:graphicData>
            </a:graphic>
          </wp:inline>
        </w:drawing>
      </w:r>
    </w:p>
    <w:p w14:paraId="08A6CF43" w14:textId="3B2F26B0" w:rsidR="00FA432F" w:rsidRPr="00731C06" w:rsidRDefault="00FA432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drawing>
          <wp:inline distT="0" distB="0" distL="0" distR="0" wp14:anchorId="5CE74DDB" wp14:editId="1EA787D1">
            <wp:extent cx="6152005" cy="2895600"/>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117" b="6815"/>
                    <a:stretch/>
                  </pic:blipFill>
                  <pic:spPr bwMode="auto">
                    <a:xfrm>
                      <a:off x="0" y="0"/>
                      <a:ext cx="6151880" cy="2895541"/>
                    </a:xfrm>
                    <a:prstGeom prst="rect">
                      <a:avLst/>
                    </a:prstGeom>
                    <a:noFill/>
                    <a:ln>
                      <a:noFill/>
                    </a:ln>
                    <a:extLst>
                      <a:ext uri="{53640926-AAD7-44D8-BBD7-CCE9431645EC}">
                        <a14:shadowObscured xmlns:a14="http://schemas.microsoft.com/office/drawing/2010/main"/>
                      </a:ext>
                    </a:extLst>
                  </pic:spPr>
                </pic:pic>
              </a:graphicData>
            </a:graphic>
          </wp:inline>
        </w:drawing>
      </w:r>
    </w:p>
    <w:p w14:paraId="1C12162C" w14:textId="4456E967" w:rsidR="00FA432F" w:rsidRPr="00731C06" w:rsidRDefault="00FA432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lastRenderedPageBreak/>
        <w:drawing>
          <wp:inline distT="0" distB="0" distL="0" distR="0" wp14:anchorId="3673AAF1" wp14:editId="45FEC6F9">
            <wp:extent cx="6152007" cy="268605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6834" b="14830"/>
                    <a:stretch/>
                  </pic:blipFill>
                  <pic:spPr bwMode="auto">
                    <a:xfrm>
                      <a:off x="0" y="0"/>
                      <a:ext cx="6151880" cy="2685995"/>
                    </a:xfrm>
                    <a:prstGeom prst="rect">
                      <a:avLst/>
                    </a:prstGeom>
                    <a:noFill/>
                    <a:ln>
                      <a:noFill/>
                    </a:ln>
                    <a:extLst>
                      <a:ext uri="{53640926-AAD7-44D8-BBD7-CCE9431645EC}">
                        <a14:shadowObscured xmlns:a14="http://schemas.microsoft.com/office/drawing/2010/main"/>
                      </a:ext>
                    </a:extLst>
                  </pic:spPr>
                </pic:pic>
              </a:graphicData>
            </a:graphic>
          </wp:inline>
        </w:drawing>
      </w:r>
    </w:p>
    <w:p w14:paraId="4CB05BCC" w14:textId="2AB511BC" w:rsidR="00731C06" w:rsidRPr="00731C06" w:rsidRDefault="00731C0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drawing>
          <wp:inline distT="0" distB="0" distL="0" distR="0" wp14:anchorId="53C556A9" wp14:editId="6C782D4F">
            <wp:extent cx="6152005" cy="280035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2024" b="29058"/>
                    <a:stretch/>
                  </pic:blipFill>
                  <pic:spPr bwMode="auto">
                    <a:xfrm>
                      <a:off x="0" y="0"/>
                      <a:ext cx="6151880" cy="2800293"/>
                    </a:xfrm>
                    <a:prstGeom prst="rect">
                      <a:avLst/>
                    </a:prstGeom>
                    <a:noFill/>
                    <a:ln>
                      <a:noFill/>
                    </a:ln>
                    <a:extLst>
                      <a:ext uri="{53640926-AAD7-44D8-BBD7-CCE9431645EC}">
                        <a14:shadowObscured xmlns:a14="http://schemas.microsoft.com/office/drawing/2010/main"/>
                      </a:ext>
                    </a:extLst>
                  </pic:spPr>
                </pic:pic>
              </a:graphicData>
            </a:graphic>
          </wp:inline>
        </w:drawing>
      </w:r>
    </w:p>
    <w:p w14:paraId="596F1081" w14:textId="7ED38801" w:rsidR="00731C06" w:rsidRPr="00731C06" w:rsidRDefault="00731C0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noProof/>
          <w:lang w:eastAsia="es-MX"/>
        </w:rPr>
        <w:drawing>
          <wp:inline distT="0" distB="0" distL="0" distR="0" wp14:anchorId="1F7FDBAE" wp14:editId="54C4B19A">
            <wp:extent cx="6152004" cy="2609850"/>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3226" b="26453"/>
                    <a:stretch/>
                  </pic:blipFill>
                  <pic:spPr bwMode="auto">
                    <a:xfrm>
                      <a:off x="0" y="0"/>
                      <a:ext cx="6151880" cy="2609797"/>
                    </a:xfrm>
                    <a:prstGeom prst="rect">
                      <a:avLst/>
                    </a:prstGeom>
                    <a:noFill/>
                    <a:ln>
                      <a:noFill/>
                    </a:ln>
                    <a:extLst>
                      <a:ext uri="{53640926-AAD7-44D8-BBD7-CCE9431645EC}">
                        <a14:shadowObscured xmlns:a14="http://schemas.microsoft.com/office/drawing/2010/main"/>
                      </a:ext>
                    </a:extLst>
                  </pic:spPr>
                </pic:pic>
              </a:graphicData>
            </a:graphic>
          </wp:inline>
        </w:drawing>
      </w:r>
    </w:p>
    <w:p w14:paraId="19CEE146" w14:textId="5499F587" w:rsidR="007D1E76" w:rsidRPr="00731C06" w:rsidRDefault="00396D53" w:rsidP="00CA3C46">
      <w:pPr>
        <w:pStyle w:val="Prrafodelista"/>
        <w:numPr>
          <w:ilvl w:val="0"/>
          <w:numId w:val="13"/>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lastRenderedPageBreak/>
        <w:t>Fideicomisos de los cuales es fideicomitente o fideicomisario, y contratos análogos, incluyendo mandatos de los cuales es parte.</w:t>
      </w:r>
    </w:p>
    <w:p w14:paraId="172D09E7"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068C9751"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No aplica por no contar ni pertenecer a fideicomisos.</w:t>
      </w:r>
    </w:p>
    <w:p w14:paraId="642A4B90" w14:textId="77777777" w:rsidR="00CB41C4" w:rsidRPr="00731C06" w:rsidRDefault="00CB41C4" w:rsidP="00CB41C4">
      <w:pPr>
        <w:tabs>
          <w:tab w:val="left" w:leader="underscore" w:pos="9639"/>
        </w:tabs>
        <w:spacing w:after="0" w:line="240" w:lineRule="auto"/>
        <w:jc w:val="both"/>
        <w:rPr>
          <w:rFonts w:asciiTheme="minorHAnsi" w:hAnsiTheme="minorHAnsi" w:cs="Calibri"/>
        </w:rPr>
      </w:pPr>
    </w:p>
    <w:p w14:paraId="12E280BB" w14:textId="61B6566F" w:rsidR="007D1E76" w:rsidRPr="00731C06" w:rsidRDefault="006F77A8" w:rsidP="000C3365">
      <w:pPr>
        <w:pStyle w:val="Ttulo2"/>
        <w:rPr>
          <w:rFonts w:asciiTheme="minorHAnsi" w:hAnsiTheme="minorHAnsi" w:cstheme="minorHAnsi"/>
          <w:b/>
          <w:color w:val="auto"/>
          <w:sz w:val="22"/>
        </w:rPr>
      </w:pPr>
      <w:bookmarkStart w:id="3" w:name="_Toc161472869"/>
      <w:r w:rsidRPr="00731C06">
        <w:rPr>
          <w:rFonts w:asciiTheme="minorHAnsi" w:hAnsiTheme="minorHAnsi" w:cstheme="minorHAnsi"/>
          <w:b/>
          <w:color w:val="auto"/>
          <w:sz w:val="22"/>
        </w:rPr>
        <w:t>4</w:t>
      </w:r>
      <w:r w:rsidR="007D1E76" w:rsidRPr="00731C06">
        <w:rPr>
          <w:rFonts w:asciiTheme="minorHAnsi" w:hAnsiTheme="minorHAnsi" w:cstheme="minorHAnsi"/>
          <w:b/>
          <w:color w:val="auto"/>
          <w:sz w:val="22"/>
        </w:rPr>
        <w:t>. Bases de Preparació</w:t>
      </w:r>
      <w:r w:rsidR="00E00323" w:rsidRPr="00731C06">
        <w:rPr>
          <w:rFonts w:asciiTheme="minorHAnsi" w:hAnsiTheme="minorHAnsi" w:cstheme="minorHAnsi"/>
          <w:b/>
          <w:color w:val="auto"/>
          <w:sz w:val="22"/>
        </w:rPr>
        <w:t>n de los Estados Financieros:</w:t>
      </w:r>
      <w:bookmarkEnd w:id="3"/>
    </w:p>
    <w:p w14:paraId="16713285"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w:t>
      </w:r>
    </w:p>
    <w:p w14:paraId="0FABCEB8"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4D261760" w14:textId="57259187" w:rsidR="007D1E76" w:rsidRPr="00731C06" w:rsidRDefault="007D1E76" w:rsidP="005D586F">
      <w:pPr>
        <w:pStyle w:val="Prrafodelista"/>
        <w:numPr>
          <w:ilvl w:val="0"/>
          <w:numId w:val="4"/>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Si se ha observado la normatividad emitida por el CONAC y las disposiciones legales aplicables.</w:t>
      </w:r>
    </w:p>
    <w:p w14:paraId="43DED887"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35028D0D"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Para la preparación de los estados financieros se ha observado la normatividad emitida por el CONAC así como los lineamientos municipales establecidos para ello.</w:t>
      </w:r>
    </w:p>
    <w:p w14:paraId="58B00679"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3F52BD1" w14:textId="1943ABBF" w:rsidR="007D1E76" w:rsidRPr="00731C06" w:rsidRDefault="007D1E76" w:rsidP="005D586F">
      <w:pPr>
        <w:pStyle w:val="Prrafodelista"/>
        <w:numPr>
          <w:ilvl w:val="0"/>
          <w:numId w:val="4"/>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La normatividad aplicada para el reconocimiento, valuación y revelación de los diferentes rubros de la información financiera, así como las bases de medición utilizadas para la elaboración de los estados financieros; por ejemplo: costo histórico, valor de realización, valor razonable, valor de recuperación o cualquier otro método empleado y los criterios de aplicación de los mismos.</w:t>
      </w:r>
    </w:p>
    <w:p w14:paraId="36A5FF66"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5B1FD4EA" w14:textId="77777777" w:rsidR="005D586F" w:rsidRPr="00731C06" w:rsidRDefault="00CB41C4" w:rsidP="005D586F">
      <w:pPr>
        <w:jc w:val="both"/>
        <w:rPr>
          <w:rFonts w:asciiTheme="minorHAnsi" w:hAnsiTheme="minorHAnsi" w:cs="Arial"/>
          <w:sz w:val="20"/>
          <w:szCs w:val="20"/>
        </w:rPr>
      </w:pPr>
      <w:r w:rsidRPr="00731C06">
        <w:rPr>
          <w:rFonts w:asciiTheme="minorHAnsi" w:hAnsiTheme="minorHAnsi" w:cs="Calibri"/>
        </w:rPr>
        <w:tab/>
      </w:r>
      <w:r w:rsidR="005D586F" w:rsidRPr="00731C06">
        <w:rPr>
          <w:rFonts w:asciiTheme="minorHAnsi" w:hAnsiTheme="minorHAnsi" w:cs="Arial"/>
          <w:sz w:val="20"/>
          <w:szCs w:val="20"/>
        </w:rPr>
        <w:t>Se tiene un avance del 95% en los Lineamientos de Contabilidad Gubernamental</w:t>
      </w:r>
    </w:p>
    <w:p w14:paraId="2DCF252C"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ED1C1ED" w14:textId="0C8BBC91" w:rsidR="007D1E76" w:rsidRPr="00731C06" w:rsidRDefault="00A6346D" w:rsidP="005D586F">
      <w:pPr>
        <w:pStyle w:val="Prrafodelista"/>
        <w:numPr>
          <w:ilvl w:val="0"/>
          <w:numId w:val="4"/>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Postulados básicos de Contabilidad Gubernamental (PBCG)</w:t>
      </w:r>
      <w:r w:rsidR="007D1E76" w:rsidRPr="00731C06">
        <w:rPr>
          <w:rFonts w:asciiTheme="minorHAnsi" w:hAnsiTheme="minorHAnsi" w:cs="Calibri"/>
        </w:rPr>
        <w:t>.</w:t>
      </w:r>
    </w:p>
    <w:p w14:paraId="147FF94D"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73C56CC1" w14:textId="77777777" w:rsidR="005D586F" w:rsidRPr="00731C06" w:rsidRDefault="0054701E" w:rsidP="005D586F">
      <w:pPr>
        <w:jc w:val="both"/>
        <w:rPr>
          <w:rFonts w:asciiTheme="minorHAnsi" w:hAnsiTheme="minorHAnsi" w:cs="Arial"/>
          <w:sz w:val="20"/>
          <w:szCs w:val="20"/>
        </w:rPr>
      </w:pPr>
      <w:r w:rsidRPr="00731C06">
        <w:rPr>
          <w:rFonts w:asciiTheme="minorHAnsi" w:hAnsiTheme="minorHAnsi" w:cs="Calibri"/>
        </w:rPr>
        <w:tab/>
      </w:r>
      <w:r w:rsidR="005D586F" w:rsidRPr="00731C06">
        <w:rPr>
          <w:rFonts w:asciiTheme="minorHAnsi" w:hAnsiTheme="minorHAnsi" w:cs="Arial"/>
          <w:sz w:val="20"/>
          <w:szCs w:val="20"/>
        </w:rPr>
        <w:t xml:space="preserve">Se tiene un avance del 95% en los Lineamientos de Contabilidad Gubernamental </w:t>
      </w:r>
    </w:p>
    <w:p w14:paraId="1CC2D59E" w14:textId="77EA179A" w:rsidR="007D1E76" w:rsidRPr="00731C06" w:rsidRDefault="007D1E76" w:rsidP="00CB41C4">
      <w:pPr>
        <w:tabs>
          <w:tab w:val="left" w:leader="underscore" w:pos="9639"/>
        </w:tabs>
        <w:spacing w:after="0" w:line="240" w:lineRule="auto"/>
        <w:jc w:val="both"/>
        <w:rPr>
          <w:rFonts w:asciiTheme="minorHAnsi" w:hAnsiTheme="minorHAnsi" w:cs="Calibri"/>
        </w:rPr>
      </w:pPr>
    </w:p>
    <w:p w14:paraId="7989D893" w14:textId="1D0FBB6C" w:rsidR="007D1E76" w:rsidRPr="00731C06" w:rsidRDefault="007D1E76" w:rsidP="005D586F">
      <w:pPr>
        <w:pStyle w:val="Prrafodelista"/>
        <w:numPr>
          <w:ilvl w:val="0"/>
          <w:numId w:val="4"/>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Normatividad supletoria. En caso de emplear varios grupos de normatividades (normatividades supletorias), deberá realizar la justificación razonable correspondiente, su alineación con los PBCG y a las características cualitativas asociadas descritas en el </w:t>
      </w:r>
      <w:r w:rsidR="0043078C" w:rsidRPr="00731C06">
        <w:rPr>
          <w:rFonts w:asciiTheme="minorHAnsi" w:hAnsiTheme="minorHAnsi" w:cs="Calibri"/>
        </w:rPr>
        <w:t>Marco Conceptual de Contabilidad Gubernamental (MCCG) y sus modificaciones.</w:t>
      </w:r>
    </w:p>
    <w:p w14:paraId="6CFF6698"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39C4C5D2" w14:textId="77777777" w:rsidR="005D586F" w:rsidRPr="00731C06" w:rsidRDefault="0054701E" w:rsidP="005D586F">
      <w:pPr>
        <w:jc w:val="both"/>
        <w:rPr>
          <w:rFonts w:asciiTheme="minorHAnsi" w:hAnsiTheme="minorHAnsi" w:cs="Arial"/>
          <w:sz w:val="20"/>
          <w:szCs w:val="20"/>
        </w:rPr>
      </w:pPr>
      <w:r w:rsidRPr="00731C06">
        <w:rPr>
          <w:rFonts w:asciiTheme="minorHAnsi" w:hAnsiTheme="minorHAnsi" w:cs="Calibri"/>
        </w:rPr>
        <w:tab/>
      </w:r>
      <w:r w:rsidR="005D586F" w:rsidRPr="00731C06">
        <w:rPr>
          <w:rFonts w:asciiTheme="minorHAnsi" w:hAnsiTheme="minorHAnsi" w:cs="Arial"/>
          <w:sz w:val="20"/>
          <w:szCs w:val="20"/>
        </w:rPr>
        <w:t xml:space="preserve">Se tiene un avance del 95% en los Lineamientos de Contabilidad Gubernamental </w:t>
      </w:r>
    </w:p>
    <w:p w14:paraId="084AD24A" w14:textId="4CE5D963"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b/>
        </w:rPr>
        <w:t>e)</w:t>
      </w:r>
      <w:r w:rsidRPr="00731C06">
        <w:rPr>
          <w:rFonts w:asciiTheme="minorHAnsi" w:hAnsiTheme="minorHAnsi" w:cs="Calibri"/>
        </w:rPr>
        <w:t xml:space="preserve"> Para las entidades que por primera vez estén implementando la base </w:t>
      </w:r>
      <w:r w:rsidR="0086420E" w:rsidRPr="00731C06">
        <w:rPr>
          <w:rFonts w:asciiTheme="minorHAnsi" w:hAnsiTheme="minorHAnsi" w:cs="Calibri"/>
        </w:rPr>
        <w:t xml:space="preserve">de </w:t>
      </w:r>
      <w:r w:rsidRPr="00731C06">
        <w:rPr>
          <w:rFonts w:asciiTheme="minorHAnsi" w:hAnsiTheme="minorHAnsi" w:cs="Calibri"/>
        </w:rPr>
        <w:t>devengado de acuerdo a la Ley de Contabilidad, deberán:</w:t>
      </w:r>
    </w:p>
    <w:p w14:paraId="3972094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6DA893A"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*Revelar las nuevas políticas de reconocimiento:</w:t>
      </w:r>
    </w:p>
    <w:p w14:paraId="47146C78" w14:textId="77777777" w:rsidR="005D586F" w:rsidRPr="00731C06" w:rsidRDefault="005D586F" w:rsidP="00CB41C4">
      <w:pPr>
        <w:tabs>
          <w:tab w:val="left" w:leader="underscore" w:pos="9639"/>
        </w:tabs>
        <w:spacing w:after="0" w:line="240" w:lineRule="auto"/>
        <w:jc w:val="both"/>
        <w:rPr>
          <w:rFonts w:asciiTheme="minorHAnsi" w:hAnsiTheme="minorHAnsi" w:cs="Calibri"/>
        </w:rPr>
      </w:pPr>
    </w:p>
    <w:p w14:paraId="7738A977" w14:textId="77777777" w:rsidR="005D586F" w:rsidRPr="00731C06" w:rsidRDefault="005D586F" w:rsidP="005D586F">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No aplica porque ya está implementado.</w:t>
      </w:r>
    </w:p>
    <w:p w14:paraId="6BEBABB5"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*Plan de implementación:</w:t>
      </w:r>
    </w:p>
    <w:p w14:paraId="6C13CB50" w14:textId="77777777" w:rsidR="005D586F" w:rsidRPr="00731C06" w:rsidRDefault="005D586F" w:rsidP="00CB41C4">
      <w:pPr>
        <w:tabs>
          <w:tab w:val="left" w:leader="underscore" w:pos="9639"/>
        </w:tabs>
        <w:spacing w:after="0" w:line="240" w:lineRule="auto"/>
        <w:jc w:val="both"/>
        <w:rPr>
          <w:rFonts w:asciiTheme="minorHAnsi" w:hAnsiTheme="minorHAnsi" w:cs="Calibri"/>
        </w:rPr>
      </w:pPr>
    </w:p>
    <w:p w14:paraId="01B909B9" w14:textId="77777777" w:rsidR="005D586F" w:rsidRPr="00731C06" w:rsidRDefault="005D586F" w:rsidP="005D586F">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No aplica porque ya está implementado.</w:t>
      </w:r>
    </w:p>
    <w:p w14:paraId="3B6D915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56D764B"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*Revelar los cambios en las políticas, la clasificación y medición de las mismas, así como su impacto en la información financiera:</w:t>
      </w:r>
    </w:p>
    <w:p w14:paraId="630AB16C" w14:textId="77777777" w:rsidR="005D586F" w:rsidRPr="00731C06" w:rsidRDefault="005D586F" w:rsidP="00CB41C4">
      <w:pPr>
        <w:tabs>
          <w:tab w:val="left" w:leader="underscore" w:pos="9639"/>
        </w:tabs>
        <w:spacing w:after="0" w:line="240" w:lineRule="auto"/>
        <w:jc w:val="both"/>
        <w:rPr>
          <w:rFonts w:asciiTheme="minorHAnsi" w:hAnsiTheme="minorHAnsi" w:cs="Calibri"/>
        </w:rPr>
      </w:pPr>
    </w:p>
    <w:p w14:paraId="167B6A85" w14:textId="77777777" w:rsidR="005D586F" w:rsidRPr="00731C06" w:rsidRDefault="005D586F" w:rsidP="005D586F">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lastRenderedPageBreak/>
        <w:t>No aplica porque ya están aplicadas las políticas.</w:t>
      </w:r>
    </w:p>
    <w:p w14:paraId="57326D16" w14:textId="77777777" w:rsidR="006F0687" w:rsidRPr="00731C06" w:rsidRDefault="006F0687" w:rsidP="006F0687">
      <w:pPr>
        <w:tabs>
          <w:tab w:val="left" w:leader="underscore" w:pos="9639"/>
        </w:tabs>
        <w:spacing w:after="0" w:line="240" w:lineRule="auto"/>
        <w:jc w:val="both"/>
        <w:rPr>
          <w:rFonts w:asciiTheme="minorHAnsi" w:hAnsiTheme="minorHAnsi" w:cs="Calibri"/>
        </w:rPr>
      </w:pPr>
    </w:p>
    <w:p w14:paraId="71521D40" w14:textId="25A82D8F" w:rsidR="006F0687" w:rsidRPr="00731C06" w:rsidRDefault="006F0687" w:rsidP="006F0687">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w:t>
      </w:r>
      <w:r w:rsidR="00D546B2" w:rsidRPr="00731C06">
        <w:rPr>
          <w:rFonts w:asciiTheme="minorHAnsi" w:hAnsiTheme="minorHAnsi" w:cs="Calibri"/>
        </w:rPr>
        <w:t>Presentar los últimos estados financieros con la normatividad anteriormente utilizada con las nuevas políticas para fines de comparación en la transición a la base de devengado.</w:t>
      </w:r>
    </w:p>
    <w:p w14:paraId="414A9188" w14:textId="77777777" w:rsidR="005D586F" w:rsidRPr="00731C06" w:rsidRDefault="005D586F" w:rsidP="006F0687">
      <w:pPr>
        <w:tabs>
          <w:tab w:val="left" w:leader="underscore" w:pos="9639"/>
        </w:tabs>
        <w:spacing w:after="0" w:line="240" w:lineRule="auto"/>
        <w:jc w:val="both"/>
        <w:rPr>
          <w:rFonts w:asciiTheme="minorHAnsi" w:hAnsiTheme="minorHAnsi" w:cs="Calibri"/>
        </w:rPr>
      </w:pPr>
    </w:p>
    <w:p w14:paraId="158EC49E" w14:textId="7F6AB5E0" w:rsidR="007D1E76" w:rsidRPr="00731C06" w:rsidRDefault="005D586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No aplica porque ya están aplicadas las políticas</w:t>
      </w:r>
    </w:p>
    <w:p w14:paraId="2119A6EF"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025E7E0" w14:textId="4C87F38F" w:rsidR="007D1E76" w:rsidRPr="00731C06" w:rsidRDefault="007F699D" w:rsidP="000C3365">
      <w:pPr>
        <w:pStyle w:val="Ttulo2"/>
        <w:rPr>
          <w:rFonts w:asciiTheme="minorHAnsi" w:hAnsiTheme="minorHAnsi" w:cs="Calibri"/>
          <w:b/>
        </w:rPr>
      </w:pPr>
      <w:bookmarkStart w:id="4" w:name="_Toc161472870"/>
      <w:r w:rsidRPr="00731C06">
        <w:rPr>
          <w:rFonts w:asciiTheme="minorHAnsi" w:hAnsiTheme="minorHAnsi" w:cstheme="minorHAnsi"/>
          <w:b/>
          <w:color w:val="auto"/>
          <w:sz w:val="22"/>
        </w:rPr>
        <w:t>5</w:t>
      </w:r>
      <w:r w:rsidR="007D1E76" w:rsidRPr="00731C06">
        <w:rPr>
          <w:rFonts w:asciiTheme="minorHAnsi" w:hAnsiTheme="minorHAnsi" w:cstheme="minorHAnsi"/>
          <w:b/>
          <w:color w:val="auto"/>
          <w:sz w:val="22"/>
        </w:rPr>
        <w:t>. Políticas de</w:t>
      </w:r>
      <w:r w:rsidR="00E00323" w:rsidRPr="00731C06">
        <w:rPr>
          <w:rFonts w:asciiTheme="minorHAnsi" w:hAnsiTheme="minorHAnsi" w:cstheme="minorHAnsi"/>
          <w:b/>
          <w:color w:val="auto"/>
          <w:sz w:val="22"/>
        </w:rPr>
        <w:t xml:space="preserve"> Contabilidad Significativas:</w:t>
      </w:r>
      <w:bookmarkEnd w:id="4"/>
    </w:p>
    <w:p w14:paraId="685C2AC3" w14:textId="77777777" w:rsidR="00AF4375" w:rsidRPr="00731C06" w:rsidRDefault="00AF4375" w:rsidP="00AF4375">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Son los principios, bases, reglas y procedimientos específicos adoptados por el ente público en la elaboración y presentación de sus estados financieros. </w:t>
      </w:r>
    </w:p>
    <w:p w14:paraId="793D8065" w14:textId="32E17174" w:rsidR="007D1E76" w:rsidRPr="00731C06" w:rsidRDefault="00AF4375" w:rsidP="00AF4375">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El ente público seleccionará y aplicará sus políticas contables de manera congruente para transacciones, otros eventos y condiciones que sean similares.</w:t>
      </w:r>
    </w:p>
    <w:p w14:paraId="4773A4FE"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w:t>
      </w:r>
    </w:p>
    <w:p w14:paraId="3A8D7951"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073F87B" w14:textId="51EF1C13" w:rsidR="007D1E76" w:rsidRPr="00731C06" w:rsidRDefault="00FC1AE8" w:rsidP="005D586F">
      <w:pPr>
        <w:pStyle w:val="Prrafodelista"/>
        <w:numPr>
          <w:ilvl w:val="0"/>
          <w:numId w:val="5"/>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Actualización: se informará del método utilizado para la actualización del valor de los activos, pasivos y Hacienda Pública/Patrimonio y las razones de dicha elección. Así como informar de la desconexión o reconexión inflacionaria</w:t>
      </w:r>
      <w:r w:rsidR="007D1E76" w:rsidRPr="00731C06">
        <w:rPr>
          <w:rFonts w:asciiTheme="minorHAnsi" w:hAnsiTheme="minorHAnsi" w:cs="Calibri"/>
        </w:rPr>
        <w:t>:</w:t>
      </w:r>
    </w:p>
    <w:p w14:paraId="5E7BE438"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6C51BB30" w14:textId="77777777" w:rsidR="005D586F" w:rsidRPr="00731C06" w:rsidRDefault="005D586F" w:rsidP="005D586F">
      <w:pPr>
        <w:pStyle w:val="Prrafodelista"/>
        <w:jc w:val="both"/>
        <w:rPr>
          <w:rFonts w:asciiTheme="minorHAnsi" w:hAnsiTheme="minorHAnsi" w:cs="Arial"/>
          <w:sz w:val="20"/>
          <w:szCs w:val="20"/>
        </w:rPr>
      </w:pPr>
      <w:r w:rsidRPr="00731C06">
        <w:rPr>
          <w:rFonts w:asciiTheme="minorHAnsi" w:hAnsiTheme="minorHAnsi" w:cs="Arial"/>
          <w:sz w:val="20"/>
          <w:szCs w:val="20"/>
        </w:rPr>
        <w:t>La Academia está encaminada a cumplir lo establecido por la CONAC y trabaja en la implementación del sistema contable.</w:t>
      </w:r>
    </w:p>
    <w:p w14:paraId="004A4D32"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3D8017C2" w14:textId="20D85681" w:rsidR="007D1E76" w:rsidRPr="00731C06" w:rsidRDefault="001C710C" w:rsidP="005D586F">
      <w:pPr>
        <w:pStyle w:val="Prrafodelista"/>
        <w:numPr>
          <w:ilvl w:val="0"/>
          <w:numId w:val="5"/>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Informar sobre la realización de operaciones en el extranjero y de sus efectos en la información financiera gubernamental, considerando entre otros el importe de las variaciones cambiarias reconocidas en el resultado (ahorro o desahorro)</w:t>
      </w:r>
      <w:r w:rsidR="007D1E76" w:rsidRPr="00731C06">
        <w:rPr>
          <w:rFonts w:asciiTheme="minorHAnsi" w:hAnsiTheme="minorHAnsi" w:cs="Calibri"/>
        </w:rPr>
        <w:t>:</w:t>
      </w:r>
    </w:p>
    <w:p w14:paraId="15C77B78"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65A2842B"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No aplica por no tener relaciones en el extranjero.</w:t>
      </w:r>
    </w:p>
    <w:p w14:paraId="35FCED94"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433324F3" w14:textId="3DE767BA" w:rsidR="007D1E76" w:rsidRPr="00731C06" w:rsidRDefault="00E9132F" w:rsidP="005D586F">
      <w:pPr>
        <w:pStyle w:val="Prrafodelista"/>
        <w:numPr>
          <w:ilvl w:val="0"/>
          <w:numId w:val="5"/>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Método de valuación de la inversión en acciones de Compañías subsidiarias no consolidadas y asociadas</w:t>
      </w:r>
      <w:r w:rsidR="007D1E76" w:rsidRPr="00731C06">
        <w:rPr>
          <w:rFonts w:asciiTheme="minorHAnsi" w:hAnsiTheme="minorHAnsi" w:cs="Calibri"/>
        </w:rPr>
        <w:t>:</w:t>
      </w:r>
    </w:p>
    <w:p w14:paraId="42CFEDED"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3AD7BA0A"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No aplica por no tener inversión de acciones.</w:t>
      </w:r>
    </w:p>
    <w:p w14:paraId="7AB12262" w14:textId="1E919D2E" w:rsidR="007D1E76" w:rsidRPr="00731C06" w:rsidRDefault="007D1E76" w:rsidP="005D586F">
      <w:pPr>
        <w:pStyle w:val="Prrafodelista"/>
        <w:numPr>
          <w:ilvl w:val="0"/>
          <w:numId w:val="5"/>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Sistema y método de valuación de inventarios y costo de lo vendido:</w:t>
      </w:r>
    </w:p>
    <w:p w14:paraId="7762A645"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17737F74"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No aplica por no procesar productos.</w:t>
      </w:r>
    </w:p>
    <w:p w14:paraId="0B282127"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1D8C904A"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b/>
        </w:rPr>
        <w:t>e)</w:t>
      </w:r>
      <w:r w:rsidRPr="00731C06">
        <w:rPr>
          <w:rFonts w:asciiTheme="minorHAnsi" w:hAnsiTheme="minorHAnsi" w:cs="Calibri"/>
        </w:rPr>
        <w:t xml:space="preserve"> Beneficios a empleados: revelar el cálculo de la reserva actuarial, valor presente de los ingresos esperados comparado con el valor presente de la estimación de gastos tanto de los beneficiarios actuales como futuros:</w:t>
      </w:r>
    </w:p>
    <w:p w14:paraId="13B9195B"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 xml:space="preserve">Información perteneciente a la Dirección de Desarrollo Institucional </w:t>
      </w:r>
    </w:p>
    <w:p w14:paraId="6636D845"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113C381" w14:textId="4CB86398" w:rsidR="007D1E76" w:rsidRPr="00731C06" w:rsidRDefault="00CA3C46" w:rsidP="00CA3C46">
      <w:pPr>
        <w:tabs>
          <w:tab w:val="left" w:leader="underscore" w:pos="9639"/>
        </w:tabs>
        <w:spacing w:after="0" w:line="240" w:lineRule="auto"/>
        <w:ind w:left="360"/>
        <w:jc w:val="both"/>
        <w:rPr>
          <w:rFonts w:asciiTheme="minorHAnsi" w:hAnsiTheme="minorHAnsi" w:cs="Calibri"/>
        </w:rPr>
      </w:pPr>
      <w:r w:rsidRPr="00731C06">
        <w:rPr>
          <w:rFonts w:asciiTheme="minorHAnsi" w:hAnsiTheme="minorHAnsi" w:cs="Calibri"/>
        </w:rPr>
        <w:t xml:space="preserve">f) </w:t>
      </w:r>
      <w:r w:rsidR="007D1E76" w:rsidRPr="00731C06">
        <w:rPr>
          <w:rFonts w:asciiTheme="minorHAnsi" w:hAnsiTheme="minorHAnsi" w:cs="Calibri"/>
        </w:rPr>
        <w:t>Provisiones: objetivo de su creación, monto y plazo:</w:t>
      </w:r>
    </w:p>
    <w:p w14:paraId="5E50278A"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4D4BD8C2"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Se considera lo establecido por el CONAC</w:t>
      </w:r>
    </w:p>
    <w:p w14:paraId="4190001D" w14:textId="379A8FA1" w:rsidR="007D1E76" w:rsidRPr="00731C06" w:rsidRDefault="00731C06" w:rsidP="00CA3C46">
      <w:pPr>
        <w:tabs>
          <w:tab w:val="left" w:leader="underscore" w:pos="9639"/>
        </w:tabs>
        <w:spacing w:after="0" w:line="240" w:lineRule="auto"/>
        <w:ind w:left="360"/>
        <w:jc w:val="both"/>
        <w:rPr>
          <w:rFonts w:asciiTheme="minorHAnsi" w:hAnsiTheme="minorHAnsi" w:cs="Calibri"/>
        </w:rPr>
      </w:pPr>
      <w:r w:rsidRPr="00731C06">
        <w:rPr>
          <w:rFonts w:asciiTheme="minorHAnsi" w:hAnsiTheme="minorHAnsi" w:cs="Calibri"/>
        </w:rPr>
        <w:lastRenderedPageBreak/>
        <w:t>g) Reservas</w:t>
      </w:r>
      <w:r w:rsidR="007D1E76" w:rsidRPr="00731C06">
        <w:rPr>
          <w:rFonts w:asciiTheme="minorHAnsi" w:hAnsiTheme="minorHAnsi" w:cs="Calibri"/>
        </w:rPr>
        <w:t>: objetivo de su creación, monto y plazo:</w:t>
      </w:r>
    </w:p>
    <w:p w14:paraId="7DECF010"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3868E686"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 xml:space="preserve">No aplica </w:t>
      </w:r>
    </w:p>
    <w:p w14:paraId="48187B92"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E497DBB" w14:textId="037BA784" w:rsidR="007D1E76" w:rsidRPr="00731C06" w:rsidRDefault="00731C06" w:rsidP="00CA3C46">
      <w:pPr>
        <w:tabs>
          <w:tab w:val="left" w:leader="underscore" w:pos="9639"/>
        </w:tabs>
        <w:spacing w:after="0" w:line="240" w:lineRule="auto"/>
        <w:ind w:left="360"/>
        <w:jc w:val="both"/>
        <w:rPr>
          <w:rFonts w:asciiTheme="minorHAnsi" w:hAnsiTheme="minorHAnsi" w:cs="Calibri"/>
        </w:rPr>
      </w:pPr>
      <w:r w:rsidRPr="00731C06">
        <w:rPr>
          <w:rFonts w:asciiTheme="minorHAnsi" w:hAnsiTheme="minorHAnsi" w:cs="Calibri"/>
        </w:rPr>
        <w:t>h) Cambios</w:t>
      </w:r>
      <w:r w:rsidR="007D1E76" w:rsidRPr="00731C06">
        <w:rPr>
          <w:rFonts w:asciiTheme="minorHAnsi" w:hAnsiTheme="minorHAnsi" w:cs="Calibri"/>
        </w:rPr>
        <w:t xml:space="preserve"> en políticas contables y corrección de errores junto con la revelación de los efectos que se tendrá en la información financiera del ente público, ya sea retrospectivos o prospectivos:</w:t>
      </w:r>
    </w:p>
    <w:p w14:paraId="37C6027F"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2B6668A3" w14:textId="2791B6D9" w:rsidR="007D1E76" w:rsidRPr="00731C06" w:rsidRDefault="005D586F" w:rsidP="00CB41C4">
      <w:pPr>
        <w:tabs>
          <w:tab w:val="left" w:leader="underscore" w:pos="9639"/>
        </w:tabs>
        <w:spacing w:after="0" w:line="240" w:lineRule="auto"/>
        <w:jc w:val="both"/>
        <w:rPr>
          <w:rFonts w:asciiTheme="minorHAnsi" w:hAnsiTheme="minorHAnsi" w:cs="Arial"/>
          <w:sz w:val="20"/>
          <w:szCs w:val="20"/>
        </w:rPr>
      </w:pPr>
      <w:r w:rsidRPr="00731C06">
        <w:rPr>
          <w:rFonts w:asciiTheme="minorHAnsi" w:hAnsiTheme="minorHAnsi" w:cs="Arial"/>
          <w:sz w:val="20"/>
          <w:szCs w:val="20"/>
        </w:rPr>
        <w:t>No aplica porque ya están aplicados</w:t>
      </w:r>
    </w:p>
    <w:p w14:paraId="6059C29B" w14:textId="77777777" w:rsidR="005D586F" w:rsidRPr="00731C06" w:rsidRDefault="005D586F" w:rsidP="00CB41C4">
      <w:pPr>
        <w:tabs>
          <w:tab w:val="left" w:leader="underscore" w:pos="9639"/>
        </w:tabs>
        <w:spacing w:after="0" w:line="240" w:lineRule="auto"/>
        <w:jc w:val="both"/>
        <w:rPr>
          <w:rFonts w:asciiTheme="minorHAnsi" w:hAnsiTheme="minorHAnsi" w:cs="Calibri"/>
        </w:rPr>
      </w:pPr>
    </w:p>
    <w:p w14:paraId="12C8FA9A" w14:textId="57378DD9" w:rsidR="007D1E76" w:rsidRPr="00731C06" w:rsidRDefault="00CA3C46" w:rsidP="00CA3C46">
      <w:pPr>
        <w:tabs>
          <w:tab w:val="left" w:leader="underscore" w:pos="9639"/>
        </w:tabs>
        <w:spacing w:after="0" w:line="240" w:lineRule="auto"/>
        <w:ind w:left="360"/>
        <w:jc w:val="both"/>
        <w:rPr>
          <w:rFonts w:asciiTheme="minorHAnsi" w:hAnsiTheme="minorHAnsi" w:cs="Calibri"/>
        </w:rPr>
      </w:pPr>
      <w:r w:rsidRPr="00731C06">
        <w:rPr>
          <w:rFonts w:asciiTheme="minorHAnsi" w:hAnsiTheme="minorHAnsi" w:cs="Calibri"/>
        </w:rPr>
        <w:t>i)</w:t>
      </w:r>
      <w:r w:rsidR="007D1E76" w:rsidRPr="00731C06">
        <w:rPr>
          <w:rFonts w:asciiTheme="minorHAnsi" w:hAnsiTheme="minorHAnsi" w:cs="Calibri"/>
        </w:rPr>
        <w:t>Reclasificaciones: Se deben revelar todos aquellos movimientos entre cuentas por efectos de cambios en los tipos de operaciones:</w:t>
      </w:r>
    </w:p>
    <w:p w14:paraId="39BF03E0"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4342A110" w14:textId="7DC0D769" w:rsidR="007D1E76" w:rsidRPr="00731C06" w:rsidRDefault="005D586F"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No aplica por no existir reclasificaciones en el periodo</w:t>
      </w:r>
    </w:p>
    <w:p w14:paraId="6E29C8B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405EF84" w14:textId="32628CFC" w:rsidR="007D1E76" w:rsidRPr="00731C06" w:rsidRDefault="00731C06" w:rsidP="00CA3C46">
      <w:pPr>
        <w:tabs>
          <w:tab w:val="left" w:leader="underscore" w:pos="9639"/>
        </w:tabs>
        <w:spacing w:after="0" w:line="240" w:lineRule="auto"/>
        <w:ind w:left="360"/>
        <w:jc w:val="both"/>
        <w:rPr>
          <w:rFonts w:asciiTheme="minorHAnsi" w:hAnsiTheme="minorHAnsi" w:cs="Calibri"/>
        </w:rPr>
      </w:pPr>
      <w:r w:rsidRPr="00731C06">
        <w:rPr>
          <w:rFonts w:asciiTheme="minorHAnsi" w:hAnsiTheme="minorHAnsi" w:cs="Calibri"/>
        </w:rPr>
        <w:t>j) Depuración</w:t>
      </w:r>
      <w:r w:rsidR="007D1E76" w:rsidRPr="00731C06">
        <w:rPr>
          <w:rFonts w:asciiTheme="minorHAnsi" w:hAnsiTheme="minorHAnsi" w:cs="Calibri"/>
        </w:rPr>
        <w:t xml:space="preserve"> y cancelación de saldos:</w:t>
      </w:r>
    </w:p>
    <w:p w14:paraId="05B8BA30" w14:textId="77777777" w:rsidR="005D586F" w:rsidRPr="00731C06" w:rsidRDefault="005D586F" w:rsidP="005D586F">
      <w:pPr>
        <w:tabs>
          <w:tab w:val="left" w:leader="underscore" w:pos="9639"/>
        </w:tabs>
        <w:spacing w:after="0" w:line="240" w:lineRule="auto"/>
        <w:jc w:val="both"/>
        <w:rPr>
          <w:rFonts w:asciiTheme="minorHAnsi" w:hAnsiTheme="minorHAnsi" w:cs="Calibri"/>
        </w:rPr>
      </w:pPr>
    </w:p>
    <w:p w14:paraId="148802D8" w14:textId="77777777" w:rsidR="005D586F" w:rsidRPr="00731C06" w:rsidRDefault="005D586F" w:rsidP="005D586F">
      <w:pPr>
        <w:jc w:val="both"/>
        <w:rPr>
          <w:rFonts w:asciiTheme="minorHAnsi" w:hAnsiTheme="minorHAnsi" w:cs="Arial"/>
          <w:sz w:val="20"/>
          <w:szCs w:val="20"/>
        </w:rPr>
      </w:pPr>
      <w:r w:rsidRPr="00731C06">
        <w:rPr>
          <w:rFonts w:asciiTheme="minorHAnsi" w:hAnsiTheme="minorHAnsi" w:cs="Arial"/>
          <w:sz w:val="20"/>
          <w:szCs w:val="20"/>
        </w:rPr>
        <w:t>No aplica por no tener saldos a depurar.</w:t>
      </w:r>
    </w:p>
    <w:p w14:paraId="051C6058" w14:textId="77777777" w:rsidR="00E00323" w:rsidRPr="00731C06" w:rsidRDefault="00E00323" w:rsidP="00CB41C4">
      <w:pPr>
        <w:tabs>
          <w:tab w:val="left" w:leader="underscore" w:pos="9639"/>
        </w:tabs>
        <w:spacing w:after="0" w:line="240" w:lineRule="auto"/>
        <w:jc w:val="both"/>
        <w:rPr>
          <w:rFonts w:asciiTheme="minorHAnsi" w:hAnsiTheme="minorHAnsi" w:cs="Calibri"/>
        </w:rPr>
      </w:pPr>
    </w:p>
    <w:p w14:paraId="2CA8BAC1" w14:textId="16AB8AA7" w:rsidR="007D1E76" w:rsidRPr="00731C06" w:rsidRDefault="003E6C64" w:rsidP="000C3365">
      <w:pPr>
        <w:pStyle w:val="Ttulo2"/>
        <w:rPr>
          <w:rFonts w:asciiTheme="minorHAnsi" w:hAnsiTheme="minorHAnsi" w:cstheme="minorHAnsi"/>
          <w:b/>
          <w:color w:val="auto"/>
          <w:sz w:val="22"/>
        </w:rPr>
      </w:pPr>
      <w:bookmarkStart w:id="5" w:name="_Toc161472871"/>
      <w:r w:rsidRPr="00731C06">
        <w:rPr>
          <w:rFonts w:asciiTheme="minorHAnsi" w:hAnsiTheme="minorHAnsi" w:cstheme="minorHAnsi"/>
          <w:b/>
          <w:color w:val="auto"/>
          <w:sz w:val="22"/>
        </w:rPr>
        <w:t>6</w:t>
      </w:r>
      <w:r w:rsidR="007D1E76" w:rsidRPr="00731C06">
        <w:rPr>
          <w:rFonts w:asciiTheme="minorHAnsi" w:hAnsiTheme="minorHAnsi" w:cstheme="minorHAnsi"/>
          <w:b/>
          <w:color w:val="auto"/>
          <w:sz w:val="22"/>
        </w:rPr>
        <w:t>. Posición en Moneda Extranjera y Pro</w:t>
      </w:r>
      <w:r w:rsidR="00E00323" w:rsidRPr="00731C06">
        <w:rPr>
          <w:rFonts w:asciiTheme="minorHAnsi" w:hAnsiTheme="minorHAnsi" w:cstheme="minorHAnsi"/>
          <w:b/>
          <w:color w:val="auto"/>
          <w:sz w:val="22"/>
        </w:rPr>
        <w:t>tección por Riesgo Cambiario:</w:t>
      </w:r>
      <w:bookmarkEnd w:id="5"/>
    </w:p>
    <w:p w14:paraId="60114D1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12C73011"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sobre:</w:t>
      </w:r>
    </w:p>
    <w:p w14:paraId="7E8BC54D"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31D25F7" w14:textId="4B9FBE5E" w:rsidR="007D1E76" w:rsidRPr="00731C06" w:rsidRDefault="007D1E76" w:rsidP="008C64F0">
      <w:pPr>
        <w:pStyle w:val="Prrafodelista"/>
        <w:numPr>
          <w:ilvl w:val="0"/>
          <w:numId w:val="6"/>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Activos en moneda extranjera:</w:t>
      </w:r>
    </w:p>
    <w:p w14:paraId="7C545DCF"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6115FEAC"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tener activos en moneda extranjera.</w:t>
      </w:r>
    </w:p>
    <w:p w14:paraId="43F08C55"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E447291" w14:textId="7BF193EC" w:rsidR="007D1E76" w:rsidRPr="00731C06" w:rsidRDefault="007D1E76" w:rsidP="008C64F0">
      <w:pPr>
        <w:pStyle w:val="Prrafodelista"/>
        <w:numPr>
          <w:ilvl w:val="0"/>
          <w:numId w:val="6"/>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Pasivos en moneda extranjera:</w:t>
      </w:r>
    </w:p>
    <w:p w14:paraId="33205F37"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011FB294"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tener pasivos en moneda extranjera.</w:t>
      </w:r>
    </w:p>
    <w:p w14:paraId="6E3298C9" w14:textId="5758FDBD" w:rsidR="007D1E76" w:rsidRPr="00731C06" w:rsidRDefault="007D1E76" w:rsidP="008C64F0">
      <w:pPr>
        <w:pStyle w:val="Prrafodelista"/>
        <w:numPr>
          <w:ilvl w:val="0"/>
          <w:numId w:val="6"/>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Posición en moneda extranjera:</w:t>
      </w:r>
    </w:p>
    <w:p w14:paraId="00A1B993"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23A0C6B0" w14:textId="77777777" w:rsidR="008C64F0" w:rsidRPr="00731C06" w:rsidRDefault="008C64F0" w:rsidP="008C64F0">
      <w:pPr>
        <w:tabs>
          <w:tab w:val="left" w:leader="underscore" w:pos="9639"/>
        </w:tabs>
        <w:spacing w:after="0" w:line="240" w:lineRule="auto"/>
        <w:jc w:val="both"/>
        <w:rPr>
          <w:rFonts w:asciiTheme="minorHAnsi" w:hAnsiTheme="minorHAnsi" w:cs="Calibri"/>
          <w:b/>
        </w:rPr>
      </w:pPr>
      <w:r w:rsidRPr="00731C06">
        <w:rPr>
          <w:rFonts w:asciiTheme="minorHAnsi" w:hAnsiTheme="minorHAnsi" w:cs="Arial"/>
          <w:sz w:val="20"/>
          <w:szCs w:val="20"/>
        </w:rPr>
        <w:t>No aplica por no tener posición en moneda extranjera</w:t>
      </w:r>
      <w:r w:rsidRPr="00731C06">
        <w:rPr>
          <w:rFonts w:asciiTheme="minorHAnsi" w:hAnsiTheme="minorHAnsi" w:cs="Calibri"/>
          <w:b/>
        </w:rPr>
        <w:t xml:space="preserve"> </w:t>
      </w:r>
    </w:p>
    <w:p w14:paraId="69F30FF2" w14:textId="77777777" w:rsidR="008C64F0" w:rsidRPr="00731C06" w:rsidRDefault="008C64F0" w:rsidP="008C64F0">
      <w:pPr>
        <w:tabs>
          <w:tab w:val="left" w:leader="underscore" w:pos="9639"/>
        </w:tabs>
        <w:spacing w:after="0" w:line="240" w:lineRule="auto"/>
        <w:jc w:val="both"/>
        <w:rPr>
          <w:rFonts w:asciiTheme="minorHAnsi" w:hAnsiTheme="minorHAnsi" w:cs="Calibri"/>
          <w:b/>
        </w:rPr>
      </w:pPr>
    </w:p>
    <w:p w14:paraId="61291BC6" w14:textId="519C99F7" w:rsidR="007D1E76" w:rsidRPr="00731C06" w:rsidRDefault="007D1E76" w:rsidP="008C64F0">
      <w:pPr>
        <w:pStyle w:val="Prrafodelista"/>
        <w:numPr>
          <w:ilvl w:val="0"/>
          <w:numId w:val="6"/>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Tipo de cambio:</w:t>
      </w:r>
    </w:p>
    <w:p w14:paraId="109F7D75"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206B48F5" w14:textId="77777777" w:rsidR="008C64F0" w:rsidRPr="00731C06" w:rsidRDefault="008C64F0" w:rsidP="008C64F0">
      <w:pPr>
        <w:jc w:val="both"/>
        <w:rPr>
          <w:rFonts w:asciiTheme="minorHAnsi" w:hAnsiTheme="minorHAnsi" w:cs="Calibri"/>
          <w:b/>
        </w:rPr>
      </w:pPr>
      <w:r w:rsidRPr="00731C06">
        <w:rPr>
          <w:rFonts w:asciiTheme="minorHAnsi" w:hAnsiTheme="minorHAnsi" w:cs="Arial"/>
          <w:sz w:val="20"/>
          <w:szCs w:val="20"/>
        </w:rPr>
        <w:t>No aplica pues solo se maneja moneda nacional.</w:t>
      </w:r>
    </w:p>
    <w:p w14:paraId="2878D6F1" w14:textId="072AE432" w:rsidR="007D1E76" w:rsidRPr="00731C06" w:rsidRDefault="007D1E76" w:rsidP="008C64F0">
      <w:pPr>
        <w:pStyle w:val="Prrafodelista"/>
        <w:numPr>
          <w:ilvl w:val="0"/>
          <w:numId w:val="6"/>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Equivalente en moneda nacional:</w:t>
      </w:r>
    </w:p>
    <w:p w14:paraId="0E6D0379"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5FC38208"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pues solo se maneja moneda nacional.</w:t>
      </w:r>
    </w:p>
    <w:p w14:paraId="01728175"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Lo anterior por cada tipo de moneda extranjera que se encuentre en los rubros de activo y pasivo.</w:t>
      </w:r>
    </w:p>
    <w:p w14:paraId="20DD1BAE" w14:textId="4A4A65C9"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Adicionalmente</w:t>
      </w:r>
      <w:r w:rsidR="00D32331" w:rsidRPr="00731C06">
        <w:rPr>
          <w:rFonts w:asciiTheme="minorHAnsi" w:hAnsiTheme="minorHAnsi" w:cs="Calibri"/>
        </w:rPr>
        <w:t>,</w:t>
      </w:r>
      <w:r w:rsidRPr="00731C06">
        <w:rPr>
          <w:rFonts w:asciiTheme="minorHAnsi" w:hAnsiTheme="minorHAnsi" w:cs="Calibri"/>
        </w:rPr>
        <w:t xml:space="preserve"> se informará sobre los métodos de protección de riesgo por vari</w:t>
      </w:r>
      <w:r w:rsidR="00E00323" w:rsidRPr="00731C06">
        <w:rPr>
          <w:rFonts w:asciiTheme="minorHAnsi" w:hAnsiTheme="minorHAnsi" w:cs="Calibri"/>
        </w:rPr>
        <w:t>aciones en el tipo de cambio.</w:t>
      </w:r>
    </w:p>
    <w:p w14:paraId="5D7BA233"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095853FE" w14:textId="75928022" w:rsidR="007D1E76" w:rsidRPr="00731C06" w:rsidRDefault="0064059E" w:rsidP="000C3365">
      <w:pPr>
        <w:pStyle w:val="Ttulo2"/>
        <w:rPr>
          <w:rFonts w:asciiTheme="minorHAnsi" w:hAnsiTheme="minorHAnsi" w:cstheme="minorHAnsi"/>
          <w:b/>
          <w:color w:val="auto"/>
          <w:sz w:val="22"/>
        </w:rPr>
      </w:pPr>
      <w:bookmarkStart w:id="6" w:name="_Toc161472872"/>
      <w:r w:rsidRPr="00731C06">
        <w:rPr>
          <w:rFonts w:asciiTheme="minorHAnsi" w:hAnsiTheme="minorHAnsi" w:cstheme="minorHAnsi"/>
          <w:b/>
          <w:color w:val="auto"/>
          <w:sz w:val="22"/>
        </w:rPr>
        <w:lastRenderedPageBreak/>
        <w:t>7</w:t>
      </w:r>
      <w:r w:rsidR="007D1E76" w:rsidRPr="00731C06">
        <w:rPr>
          <w:rFonts w:asciiTheme="minorHAnsi" w:hAnsiTheme="minorHAnsi" w:cstheme="minorHAnsi"/>
          <w:b/>
          <w:color w:val="auto"/>
          <w:sz w:val="22"/>
        </w:rPr>
        <w:t xml:space="preserve">. </w:t>
      </w:r>
      <w:r w:rsidR="00E00323" w:rsidRPr="00731C06">
        <w:rPr>
          <w:rFonts w:asciiTheme="minorHAnsi" w:hAnsiTheme="minorHAnsi" w:cstheme="minorHAnsi"/>
          <w:b/>
          <w:color w:val="auto"/>
          <w:sz w:val="22"/>
        </w:rPr>
        <w:t>Reporte Analítico del Activo:</w:t>
      </w:r>
      <w:bookmarkEnd w:id="6"/>
    </w:p>
    <w:p w14:paraId="1C9AE80E"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DC51E13"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Debe mostrar la siguien</w:t>
      </w:r>
      <w:r w:rsidR="00E00323" w:rsidRPr="00731C06">
        <w:rPr>
          <w:rFonts w:asciiTheme="minorHAnsi" w:hAnsiTheme="minorHAnsi" w:cs="Calibri"/>
        </w:rPr>
        <w:t>te información:</w:t>
      </w:r>
    </w:p>
    <w:p w14:paraId="0E1FB990"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21E8A1F" w14:textId="1F2919EF" w:rsidR="007D1E76" w:rsidRPr="00731C06" w:rsidRDefault="00ED7AA0"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Vida útil, porcentajes de depreciación y amortización utilizados en los diferentes tipos de activos, o el importe de las pérdidas por deterioro reconocidas</w:t>
      </w:r>
      <w:r w:rsidR="007D1E76" w:rsidRPr="00731C06">
        <w:rPr>
          <w:rFonts w:asciiTheme="minorHAnsi" w:hAnsiTheme="minorHAnsi" w:cs="Calibri"/>
        </w:rPr>
        <w:t>:</w:t>
      </w:r>
    </w:p>
    <w:p w14:paraId="27AFD272" w14:textId="77777777" w:rsidR="008C64F0" w:rsidRPr="00731C06" w:rsidRDefault="008C64F0" w:rsidP="008C64F0">
      <w:pPr>
        <w:pStyle w:val="Prrafodelista"/>
        <w:tabs>
          <w:tab w:val="left" w:leader="underscore" w:pos="9639"/>
        </w:tabs>
        <w:spacing w:after="0" w:line="240" w:lineRule="auto"/>
        <w:jc w:val="both"/>
        <w:rPr>
          <w:rFonts w:asciiTheme="minorHAnsi" w:hAnsiTheme="minorHAnsi" w:cs="Calibri"/>
        </w:rPr>
      </w:pPr>
    </w:p>
    <w:p w14:paraId="7A661938" w14:textId="318681CF"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 xml:space="preserve">Se integra en reporte </w:t>
      </w:r>
      <w:r w:rsidRPr="00731C06">
        <w:rPr>
          <w:rFonts w:asciiTheme="minorHAnsi" w:hAnsiTheme="minorHAnsi" w:cs="Arial"/>
          <w:b/>
          <w:bCs/>
          <w:sz w:val="20"/>
          <w:szCs w:val="20"/>
        </w:rPr>
        <w:t>0341_BMI_MLEO_SGP_240</w:t>
      </w:r>
      <w:r w:rsidR="009156F8" w:rsidRPr="00731C06">
        <w:rPr>
          <w:rFonts w:asciiTheme="minorHAnsi" w:hAnsiTheme="minorHAnsi" w:cs="Arial"/>
          <w:b/>
          <w:bCs/>
          <w:sz w:val="20"/>
          <w:szCs w:val="20"/>
        </w:rPr>
        <w:t>2</w:t>
      </w:r>
      <w:r w:rsidRPr="00731C06">
        <w:rPr>
          <w:rFonts w:asciiTheme="minorHAnsi" w:hAnsiTheme="minorHAnsi" w:cs="Arial"/>
          <w:sz w:val="20"/>
          <w:szCs w:val="20"/>
        </w:rPr>
        <w:t xml:space="preserve"> y notas a los estados financieros anexo esf-08 Bienes Muebles e Inmueble. </w:t>
      </w:r>
    </w:p>
    <w:p w14:paraId="7FD13FA2" w14:textId="6853FE59" w:rsidR="007D1E76" w:rsidRPr="00731C06" w:rsidRDefault="00AA2768"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Cambios en el porcentaje de depreciación y amortización y en el valor de los activos ocasionado por deterioro</w:t>
      </w:r>
      <w:r w:rsidR="007D1E76" w:rsidRPr="00731C06">
        <w:rPr>
          <w:rFonts w:asciiTheme="minorHAnsi" w:hAnsiTheme="minorHAnsi" w:cs="Calibri"/>
        </w:rPr>
        <w:t>:</w:t>
      </w:r>
    </w:p>
    <w:p w14:paraId="569D3701"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589193A0"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En proceso de aplicar</w:t>
      </w:r>
    </w:p>
    <w:p w14:paraId="7793D355" w14:textId="6746FC70"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Importe de los gastos capitalizados en el ejercicio, tanto financieros como de investigación y desarrollo:</w:t>
      </w:r>
    </w:p>
    <w:p w14:paraId="2D7B1E52"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01186373" w14:textId="77777777" w:rsidR="008C64F0" w:rsidRPr="00731C06" w:rsidRDefault="008C64F0" w:rsidP="008C64F0">
      <w:pPr>
        <w:tabs>
          <w:tab w:val="left" w:leader="underscore" w:pos="9639"/>
        </w:tabs>
        <w:spacing w:after="0" w:line="240" w:lineRule="auto"/>
        <w:jc w:val="both"/>
        <w:rPr>
          <w:rFonts w:asciiTheme="minorHAnsi" w:hAnsiTheme="minorHAnsi" w:cs="Calibri"/>
          <w:b/>
        </w:rPr>
      </w:pPr>
      <w:r w:rsidRPr="00731C06">
        <w:rPr>
          <w:rFonts w:asciiTheme="minorHAnsi" w:hAnsiTheme="minorHAnsi" w:cs="Arial"/>
          <w:sz w:val="20"/>
          <w:szCs w:val="20"/>
        </w:rPr>
        <w:t>No aplica no existen gastos capitalizables</w:t>
      </w:r>
      <w:r w:rsidRPr="00731C06">
        <w:rPr>
          <w:rFonts w:asciiTheme="minorHAnsi" w:hAnsiTheme="minorHAnsi" w:cs="Calibri"/>
          <w:b/>
        </w:rPr>
        <w:t xml:space="preserve"> </w:t>
      </w:r>
    </w:p>
    <w:p w14:paraId="389FC7C1"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4BF173F" w14:textId="4EB25033"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Rie</w:t>
      </w:r>
      <w:r w:rsidR="001973A2" w:rsidRPr="00731C06">
        <w:rPr>
          <w:rFonts w:asciiTheme="minorHAnsi" w:hAnsiTheme="minorHAnsi" w:cs="Calibri"/>
        </w:rPr>
        <w:t>s</w:t>
      </w:r>
      <w:r w:rsidRPr="00731C06">
        <w:rPr>
          <w:rFonts w:asciiTheme="minorHAnsi" w:hAnsiTheme="minorHAnsi" w:cs="Calibri"/>
        </w:rPr>
        <w:t>gos por tipo de cambio o tipo de interés de las inversiones financieras:</w:t>
      </w:r>
    </w:p>
    <w:p w14:paraId="7641A05F"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7E6A675E"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pues no se tienen inversiones financieras.</w:t>
      </w:r>
    </w:p>
    <w:p w14:paraId="114D8167" w14:textId="5AB586E3"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Valor activado en el ejercicio de los bienes construidos por la entidad:</w:t>
      </w:r>
    </w:p>
    <w:p w14:paraId="745E24C5"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353D228E"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estar construyendo la entidad responsable.</w:t>
      </w:r>
    </w:p>
    <w:p w14:paraId="61D4FD0C" w14:textId="4BFA8D4F"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Otras circunstancias de carácter significativo que afecten el activo, tales como bienes en garantía, señalados en embargos, litigios, títulos de inversiones entregados en garantías, baja significativa del valor de inversiones financieras, etc.:</w:t>
      </w:r>
    </w:p>
    <w:p w14:paraId="22204B6E"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6FD1B4E4" w14:textId="06C2B1F7" w:rsidR="007D1E76" w:rsidRPr="00731C06" w:rsidRDefault="008C64F0" w:rsidP="00CB41C4">
      <w:pPr>
        <w:tabs>
          <w:tab w:val="left" w:leader="underscore" w:pos="9639"/>
        </w:tabs>
        <w:spacing w:after="0" w:line="240" w:lineRule="auto"/>
        <w:jc w:val="both"/>
        <w:rPr>
          <w:rFonts w:asciiTheme="minorHAnsi" w:hAnsiTheme="minorHAnsi" w:cs="Arial"/>
          <w:sz w:val="20"/>
          <w:szCs w:val="20"/>
        </w:rPr>
      </w:pPr>
      <w:r w:rsidRPr="00731C06">
        <w:rPr>
          <w:rFonts w:asciiTheme="minorHAnsi" w:hAnsiTheme="minorHAnsi" w:cs="Arial"/>
          <w:sz w:val="20"/>
          <w:szCs w:val="20"/>
        </w:rPr>
        <w:t>No aplica por no existir circunstancias de carácter significativo que afecten al activo</w:t>
      </w:r>
    </w:p>
    <w:p w14:paraId="14278B1C" w14:textId="77777777" w:rsidR="008C64F0" w:rsidRPr="00731C06" w:rsidRDefault="008C64F0" w:rsidP="00CB41C4">
      <w:pPr>
        <w:tabs>
          <w:tab w:val="left" w:leader="underscore" w:pos="9639"/>
        </w:tabs>
        <w:spacing w:after="0" w:line="240" w:lineRule="auto"/>
        <w:jc w:val="both"/>
        <w:rPr>
          <w:rFonts w:asciiTheme="minorHAnsi" w:hAnsiTheme="minorHAnsi" w:cs="Calibri"/>
        </w:rPr>
      </w:pPr>
    </w:p>
    <w:p w14:paraId="5B1593C0" w14:textId="1E357CC7"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Desmantelamiento de Activos, procedimientos, implicaciones, efectos contables:</w:t>
      </w:r>
    </w:p>
    <w:p w14:paraId="25468A54"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101942E5"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Cuando esto sucede se levanta dictamen técnico de obsolescencia y se evidencia con fotografía.</w:t>
      </w:r>
    </w:p>
    <w:p w14:paraId="6543D74F" w14:textId="6AF6FCCE" w:rsidR="007D1E76" w:rsidRPr="00731C06" w:rsidRDefault="007D1E76" w:rsidP="008C64F0">
      <w:pPr>
        <w:pStyle w:val="Prrafodelista"/>
        <w:numPr>
          <w:ilvl w:val="0"/>
          <w:numId w:val="7"/>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Administración de activos; planeación con el objetivo de que el ente los utilice de manera más efectiva:</w:t>
      </w:r>
    </w:p>
    <w:p w14:paraId="2A71CDF5"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24E54E85"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Se planea considerando la vida útil de los mismos vigilando su buen uso y aprovechamiento.</w:t>
      </w:r>
    </w:p>
    <w:p w14:paraId="1F344FA6"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Adicionalmente, se deben incluir las explicaciones de las principales variaciones en el activo, en cua</w:t>
      </w:r>
      <w:r w:rsidR="005E231E" w:rsidRPr="00731C06">
        <w:rPr>
          <w:rFonts w:asciiTheme="minorHAnsi" w:hAnsiTheme="minorHAnsi" w:cs="Calibri"/>
        </w:rPr>
        <w:t>dros comparativos como sigue:</w:t>
      </w:r>
    </w:p>
    <w:p w14:paraId="34E04F6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1C52C975" w14:textId="0B54BF72" w:rsidR="007D1E76" w:rsidRPr="00731C06" w:rsidRDefault="007D1E76" w:rsidP="008C64F0">
      <w:pPr>
        <w:pStyle w:val="Prrafodelista"/>
        <w:numPr>
          <w:ilvl w:val="0"/>
          <w:numId w:val="8"/>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Inversiones en valores:</w:t>
      </w:r>
    </w:p>
    <w:p w14:paraId="369B9FF8"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71616759"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realizar inversiones en valores.</w:t>
      </w:r>
    </w:p>
    <w:p w14:paraId="7F294F69" w14:textId="3CA4D66F" w:rsidR="007D1E76" w:rsidRPr="00731C06" w:rsidRDefault="007D1E76" w:rsidP="008C64F0">
      <w:pPr>
        <w:pStyle w:val="Prrafodelista"/>
        <w:numPr>
          <w:ilvl w:val="0"/>
          <w:numId w:val="8"/>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lastRenderedPageBreak/>
        <w:t xml:space="preserve">Patrimonio de Organismos </w:t>
      </w:r>
      <w:r w:rsidR="00B073DE" w:rsidRPr="00731C06">
        <w:rPr>
          <w:rFonts w:asciiTheme="minorHAnsi" w:hAnsiTheme="minorHAnsi" w:cs="Calibri"/>
        </w:rPr>
        <w:t>D</w:t>
      </w:r>
      <w:r w:rsidRPr="00731C06">
        <w:rPr>
          <w:rFonts w:asciiTheme="minorHAnsi" w:hAnsiTheme="minorHAnsi" w:cs="Calibri"/>
        </w:rPr>
        <w:t>escentralizados de Control Presupuestario Indirecto:</w:t>
      </w:r>
    </w:p>
    <w:p w14:paraId="400C8DB3"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5EB83E58"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tener patrimonio de organismos descentralizados.</w:t>
      </w:r>
    </w:p>
    <w:p w14:paraId="0A3B41EB" w14:textId="395B334E" w:rsidR="007D1E76" w:rsidRPr="00731C06" w:rsidRDefault="007D1E76" w:rsidP="008C64F0">
      <w:pPr>
        <w:pStyle w:val="Prrafodelista"/>
        <w:numPr>
          <w:ilvl w:val="0"/>
          <w:numId w:val="8"/>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Inversiones en empresas de participación mayoritaria:</w:t>
      </w:r>
    </w:p>
    <w:p w14:paraId="58185AAB"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4F6A6965" w14:textId="77777777" w:rsidR="008C64F0" w:rsidRPr="00731C06" w:rsidRDefault="008C64F0" w:rsidP="008C64F0">
      <w:pPr>
        <w:jc w:val="both"/>
        <w:rPr>
          <w:rFonts w:asciiTheme="minorHAnsi" w:hAnsiTheme="minorHAnsi" w:cs="Calibri"/>
          <w:b/>
        </w:rPr>
      </w:pPr>
      <w:r w:rsidRPr="00731C06">
        <w:rPr>
          <w:rFonts w:asciiTheme="minorHAnsi" w:hAnsiTheme="minorHAnsi" w:cs="Arial"/>
          <w:sz w:val="20"/>
          <w:szCs w:val="20"/>
        </w:rPr>
        <w:t>No aplica por no contar con inversiones en empresas.</w:t>
      </w:r>
    </w:p>
    <w:p w14:paraId="02D4B80A" w14:textId="7C59754E" w:rsidR="007D1E76" w:rsidRPr="00731C06" w:rsidRDefault="007D1E76" w:rsidP="008C64F0">
      <w:pPr>
        <w:pStyle w:val="Prrafodelista"/>
        <w:numPr>
          <w:ilvl w:val="0"/>
          <w:numId w:val="8"/>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Inversiones en empresas de participación minoritaria:</w:t>
      </w:r>
    </w:p>
    <w:p w14:paraId="2595BBFC"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57EEEA33"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contar con inversiones en empresas.</w:t>
      </w:r>
    </w:p>
    <w:p w14:paraId="05A46BBB" w14:textId="610E46A3" w:rsidR="007D1E76" w:rsidRPr="00731C06" w:rsidRDefault="007D1E76" w:rsidP="008C64F0">
      <w:pPr>
        <w:pStyle w:val="Prrafodelista"/>
        <w:numPr>
          <w:ilvl w:val="0"/>
          <w:numId w:val="8"/>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Patrimonio de </w:t>
      </w:r>
      <w:r w:rsidR="006B1ADF" w:rsidRPr="00731C06">
        <w:rPr>
          <w:rFonts w:asciiTheme="minorHAnsi" w:hAnsiTheme="minorHAnsi" w:cs="Calibri"/>
        </w:rPr>
        <w:t>O</w:t>
      </w:r>
      <w:r w:rsidRPr="00731C06">
        <w:rPr>
          <w:rFonts w:asciiTheme="minorHAnsi" w:hAnsiTheme="minorHAnsi" w:cs="Calibri"/>
        </w:rPr>
        <w:t xml:space="preserve">rganismos </w:t>
      </w:r>
      <w:r w:rsidR="006B1ADF" w:rsidRPr="00731C06">
        <w:rPr>
          <w:rFonts w:asciiTheme="minorHAnsi" w:hAnsiTheme="minorHAnsi" w:cs="Calibri"/>
        </w:rPr>
        <w:t>D</w:t>
      </w:r>
      <w:r w:rsidRPr="00731C06">
        <w:rPr>
          <w:rFonts w:asciiTheme="minorHAnsi" w:hAnsiTheme="minorHAnsi" w:cs="Calibri"/>
        </w:rPr>
        <w:t xml:space="preserve">escentralizados de control </w:t>
      </w:r>
      <w:r w:rsidR="006B1ADF" w:rsidRPr="00731C06">
        <w:rPr>
          <w:rFonts w:asciiTheme="minorHAnsi" w:hAnsiTheme="minorHAnsi" w:cs="Calibri"/>
        </w:rPr>
        <w:t>P</w:t>
      </w:r>
      <w:r w:rsidRPr="00731C06">
        <w:rPr>
          <w:rFonts w:asciiTheme="minorHAnsi" w:hAnsiTheme="minorHAnsi" w:cs="Calibri"/>
        </w:rPr>
        <w:t xml:space="preserve">resupuestario </w:t>
      </w:r>
      <w:r w:rsidR="006B1ADF" w:rsidRPr="00731C06">
        <w:rPr>
          <w:rFonts w:asciiTheme="minorHAnsi" w:hAnsiTheme="minorHAnsi" w:cs="Calibri"/>
        </w:rPr>
        <w:t>D</w:t>
      </w:r>
      <w:r w:rsidRPr="00731C06">
        <w:rPr>
          <w:rFonts w:asciiTheme="minorHAnsi" w:hAnsiTheme="minorHAnsi" w:cs="Calibri"/>
        </w:rPr>
        <w:t>irecto, según corresponda:</w:t>
      </w:r>
    </w:p>
    <w:p w14:paraId="4230B14A"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658D18DA" w14:textId="77777777"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No aplica por no tener patrimonio de organismos descentralizados.</w:t>
      </w:r>
    </w:p>
    <w:p w14:paraId="2D957F4B" w14:textId="6AD73354" w:rsidR="007D1E76" w:rsidRPr="00731C06" w:rsidRDefault="002722DD" w:rsidP="000C3365">
      <w:pPr>
        <w:pStyle w:val="Ttulo2"/>
        <w:rPr>
          <w:rFonts w:asciiTheme="minorHAnsi" w:hAnsiTheme="minorHAnsi" w:cstheme="minorHAnsi"/>
          <w:b/>
          <w:color w:val="auto"/>
          <w:sz w:val="22"/>
        </w:rPr>
      </w:pPr>
      <w:bookmarkStart w:id="7" w:name="_Toc161472873"/>
      <w:r w:rsidRPr="00731C06">
        <w:rPr>
          <w:rFonts w:asciiTheme="minorHAnsi" w:hAnsiTheme="minorHAnsi" w:cstheme="minorHAnsi"/>
          <w:b/>
          <w:color w:val="auto"/>
          <w:sz w:val="22"/>
        </w:rPr>
        <w:t>8</w:t>
      </w:r>
      <w:r w:rsidR="007D1E76" w:rsidRPr="00731C06">
        <w:rPr>
          <w:rFonts w:asciiTheme="minorHAnsi" w:hAnsiTheme="minorHAnsi" w:cstheme="minorHAnsi"/>
          <w:b/>
          <w:color w:val="auto"/>
          <w:sz w:val="22"/>
        </w:rPr>
        <w:t>. Fidei</w:t>
      </w:r>
      <w:r w:rsidR="005E231E" w:rsidRPr="00731C06">
        <w:rPr>
          <w:rFonts w:asciiTheme="minorHAnsi" w:hAnsiTheme="minorHAnsi" w:cstheme="minorHAnsi"/>
          <w:b/>
          <w:color w:val="auto"/>
          <w:sz w:val="22"/>
        </w:rPr>
        <w:t>comisos, Mandatos y Análogos:</w:t>
      </w:r>
      <w:bookmarkEnd w:id="7"/>
    </w:p>
    <w:p w14:paraId="5B412C86"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E55E712"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deberá informar:</w:t>
      </w:r>
    </w:p>
    <w:p w14:paraId="708E87EF"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2701D955" w14:textId="48896407" w:rsidR="007D1E76" w:rsidRPr="00731C06" w:rsidRDefault="007D1E76" w:rsidP="008C64F0">
      <w:pPr>
        <w:pStyle w:val="Prrafodelista"/>
        <w:numPr>
          <w:ilvl w:val="0"/>
          <w:numId w:val="9"/>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Por ramo administrativo que los reporta:</w:t>
      </w:r>
    </w:p>
    <w:p w14:paraId="06E634EF"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7803691A" w14:textId="77777777" w:rsidR="008C64F0" w:rsidRPr="00731C06" w:rsidRDefault="008C64F0" w:rsidP="008C64F0">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No aplica por no manejar fideicomisos o mandatos</w:t>
      </w:r>
    </w:p>
    <w:p w14:paraId="5E3F3344"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326C2254" w14:textId="0C15EBED" w:rsidR="007D1E76" w:rsidRPr="00731C06" w:rsidRDefault="007D1E76" w:rsidP="008C64F0">
      <w:pPr>
        <w:pStyle w:val="Prrafodelista"/>
        <w:numPr>
          <w:ilvl w:val="0"/>
          <w:numId w:val="9"/>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Enlistar los de mayor monto de disponibilidad, relacionando aquéllos que conforman el 80% de las disponibilidades:</w:t>
      </w:r>
    </w:p>
    <w:p w14:paraId="5A445FA4"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03AB3A3A" w14:textId="130BB5A1" w:rsidR="007D1E76" w:rsidRPr="00731C06" w:rsidRDefault="008C64F0"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Arial"/>
          <w:sz w:val="20"/>
          <w:szCs w:val="20"/>
        </w:rPr>
        <w:t>No aplica por no contar con fideicomisos ni mandatos análogos</w:t>
      </w:r>
    </w:p>
    <w:p w14:paraId="5AE57259"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2F60B1C6" w14:textId="47BAD216" w:rsidR="007D1E76" w:rsidRPr="00731C06" w:rsidRDefault="002722DD" w:rsidP="000C3365">
      <w:pPr>
        <w:pStyle w:val="Ttulo2"/>
        <w:rPr>
          <w:rFonts w:asciiTheme="minorHAnsi" w:hAnsiTheme="minorHAnsi" w:cstheme="minorHAnsi"/>
          <w:b/>
          <w:color w:val="auto"/>
          <w:sz w:val="22"/>
        </w:rPr>
      </w:pPr>
      <w:bookmarkStart w:id="8" w:name="_Toc161472874"/>
      <w:r w:rsidRPr="00731C06">
        <w:rPr>
          <w:rFonts w:asciiTheme="minorHAnsi" w:hAnsiTheme="minorHAnsi" w:cstheme="minorHAnsi"/>
          <w:b/>
          <w:color w:val="auto"/>
          <w:sz w:val="22"/>
        </w:rPr>
        <w:t>9</w:t>
      </w:r>
      <w:r w:rsidR="007D1E76" w:rsidRPr="00731C06">
        <w:rPr>
          <w:rFonts w:asciiTheme="minorHAnsi" w:hAnsiTheme="minorHAnsi" w:cstheme="minorHAnsi"/>
          <w:b/>
          <w:color w:val="auto"/>
          <w:sz w:val="22"/>
        </w:rPr>
        <w:t>. Reporte de la Recaudación:</w:t>
      </w:r>
      <w:bookmarkEnd w:id="8"/>
    </w:p>
    <w:p w14:paraId="2B90D2EC"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DF860FA" w14:textId="267679B2" w:rsidR="007D1E76" w:rsidRPr="00731C06" w:rsidRDefault="007D1E76" w:rsidP="008C64F0">
      <w:pPr>
        <w:pStyle w:val="Prrafodelista"/>
        <w:numPr>
          <w:ilvl w:val="0"/>
          <w:numId w:val="10"/>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Análisis del comportamiento de la recaudación correspondiente al ente público o cualquier tipo de ingreso, de forma separada los ingresos locales de los federales:</w:t>
      </w:r>
    </w:p>
    <w:p w14:paraId="1A7C1D23"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401291D6" w14:textId="6A24B1FF" w:rsidR="008C64F0" w:rsidRPr="00731C06" w:rsidRDefault="008C64F0" w:rsidP="008C64F0">
      <w:pPr>
        <w:jc w:val="both"/>
        <w:rPr>
          <w:rFonts w:asciiTheme="minorHAnsi" w:hAnsiTheme="minorHAnsi" w:cs="Arial"/>
          <w:sz w:val="20"/>
          <w:szCs w:val="20"/>
        </w:rPr>
      </w:pPr>
      <w:r w:rsidRPr="00731C06">
        <w:rPr>
          <w:rFonts w:asciiTheme="minorHAnsi" w:hAnsiTheme="minorHAnsi" w:cs="Arial"/>
          <w:sz w:val="20"/>
          <w:szCs w:val="20"/>
        </w:rPr>
        <w:t xml:space="preserve">Información contenida en el </w:t>
      </w:r>
      <w:r w:rsidRPr="00731C06">
        <w:rPr>
          <w:rFonts w:asciiTheme="minorHAnsi" w:hAnsiTheme="minorHAnsi" w:cs="Arial"/>
          <w:b/>
          <w:bCs/>
          <w:sz w:val="20"/>
          <w:szCs w:val="20"/>
        </w:rPr>
        <w:t>0321_EAI_MLEO_SGP_240</w:t>
      </w:r>
      <w:r w:rsidR="009156F8" w:rsidRPr="00731C06">
        <w:rPr>
          <w:rFonts w:asciiTheme="minorHAnsi" w:hAnsiTheme="minorHAnsi" w:cs="Arial"/>
          <w:b/>
          <w:bCs/>
          <w:sz w:val="20"/>
          <w:szCs w:val="20"/>
        </w:rPr>
        <w:t>2</w:t>
      </w:r>
    </w:p>
    <w:p w14:paraId="36C23337" w14:textId="26CB35F0" w:rsidR="007D1E76" w:rsidRPr="00731C06" w:rsidRDefault="007D1E76" w:rsidP="008C64F0">
      <w:pPr>
        <w:pStyle w:val="Prrafodelista"/>
        <w:numPr>
          <w:ilvl w:val="0"/>
          <w:numId w:val="10"/>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Proyección de la recaudación e ingresos en el mediano plazo:</w:t>
      </w:r>
    </w:p>
    <w:p w14:paraId="52A53410"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7C4CE7E2" w14:textId="484245DC" w:rsidR="007D1E76" w:rsidRPr="00731C06" w:rsidRDefault="008C64F0"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Arial"/>
          <w:sz w:val="20"/>
          <w:szCs w:val="20"/>
        </w:rPr>
        <w:t>No aplica pues solo se contempla el reconocimiento inflacionario</w:t>
      </w:r>
    </w:p>
    <w:p w14:paraId="26FDB1A9" w14:textId="77777777" w:rsidR="00231FBE" w:rsidRPr="00731C06" w:rsidRDefault="00231FBE" w:rsidP="00CB41C4">
      <w:pPr>
        <w:tabs>
          <w:tab w:val="left" w:leader="underscore" w:pos="9639"/>
        </w:tabs>
        <w:spacing w:after="0" w:line="240" w:lineRule="auto"/>
        <w:jc w:val="both"/>
        <w:rPr>
          <w:rFonts w:asciiTheme="minorHAnsi" w:hAnsiTheme="minorHAnsi" w:cs="Calibri"/>
        </w:rPr>
      </w:pPr>
    </w:p>
    <w:p w14:paraId="2D68C3FC" w14:textId="7BAEB103" w:rsidR="007D1E76" w:rsidRPr="00731C06" w:rsidRDefault="007D1E76" w:rsidP="000C3365">
      <w:pPr>
        <w:pStyle w:val="Ttulo2"/>
        <w:rPr>
          <w:rFonts w:asciiTheme="minorHAnsi" w:hAnsiTheme="minorHAnsi" w:cstheme="minorHAnsi"/>
          <w:b/>
          <w:color w:val="auto"/>
          <w:sz w:val="22"/>
        </w:rPr>
      </w:pPr>
      <w:bookmarkStart w:id="9" w:name="_Toc161472875"/>
      <w:r w:rsidRPr="00731C06">
        <w:rPr>
          <w:rFonts w:asciiTheme="minorHAnsi" w:hAnsiTheme="minorHAnsi" w:cstheme="minorHAnsi"/>
          <w:b/>
          <w:color w:val="auto"/>
          <w:sz w:val="22"/>
        </w:rPr>
        <w:t>1</w:t>
      </w:r>
      <w:r w:rsidR="00106EE9" w:rsidRPr="00731C06">
        <w:rPr>
          <w:rFonts w:asciiTheme="minorHAnsi" w:hAnsiTheme="minorHAnsi" w:cstheme="minorHAnsi"/>
          <w:b/>
          <w:color w:val="auto"/>
          <w:sz w:val="22"/>
        </w:rPr>
        <w:t>0</w:t>
      </w:r>
      <w:r w:rsidRPr="00731C06">
        <w:rPr>
          <w:rFonts w:asciiTheme="minorHAnsi" w:hAnsiTheme="minorHAnsi" w:cstheme="minorHAnsi"/>
          <w:b/>
          <w:color w:val="auto"/>
          <w:sz w:val="22"/>
        </w:rPr>
        <w:t>. Información sobre la Deuda y el R</w:t>
      </w:r>
      <w:r w:rsidR="005E231E" w:rsidRPr="00731C06">
        <w:rPr>
          <w:rFonts w:asciiTheme="minorHAnsi" w:hAnsiTheme="minorHAnsi" w:cstheme="minorHAnsi"/>
          <w:b/>
          <w:color w:val="auto"/>
          <w:sz w:val="22"/>
        </w:rPr>
        <w:t>eporte Analítico de la Deuda:</w:t>
      </w:r>
      <w:bookmarkEnd w:id="9"/>
    </w:p>
    <w:p w14:paraId="27337031"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7B63D2E0" w14:textId="1887270F" w:rsidR="007D1E76" w:rsidRPr="00731C06" w:rsidRDefault="007D1E76" w:rsidP="008C64F0">
      <w:pPr>
        <w:pStyle w:val="Prrafodelista"/>
        <w:numPr>
          <w:ilvl w:val="0"/>
          <w:numId w:val="11"/>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Utilizar al menos los siguientes indicadores: deuda respecto al PIB y deuda respecto a la recaudación tomando, como mínimo, un período igual o menor a 5 años.</w:t>
      </w:r>
    </w:p>
    <w:p w14:paraId="3D6FE6FA"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2CFAB33F" w14:textId="77777777" w:rsidR="008C64F0" w:rsidRPr="00731C06" w:rsidRDefault="008C64F0" w:rsidP="008C64F0">
      <w:pPr>
        <w:ind w:left="360"/>
        <w:jc w:val="both"/>
        <w:rPr>
          <w:rFonts w:asciiTheme="minorHAnsi" w:hAnsiTheme="minorHAnsi" w:cs="Arial"/>
          <w:sz w:val="20"/>
          <w:szCs w:val="20"/>
        </w:rPr>
      </w:pPr>
      <w:r w:rsidRPr="00731C06">
        <w:rPr>
          <w:rFonts w:asciiTheme="minorHAnsi" w:hAnsiTheme="minorHAnsi" w:cs="Arial"/>
          <w:sz w:val="20"/>
          <w:szCs w:val="20"/>
        </w:rPr>
        <w:t>No aplica por no tener deudas.</w:t>
      </w:r>
    </w:p>
    <w:p w14:paraId="218F7BA5" w14:textId="77777777" w:rsidR="008C64F0" w:rsidRPr="00731C06" w:rsidRDefault="008C64F0" w:rsidP="008C64F0">
      <w:pPr>
        <w:tabs>
          <w:tab w:val="left" w:leader="underscore" w:pos="9639"/>
        </w:tabs>
        <w:spacing w:after="0" w:line="240" w:lineRule="auto"/>
        <w:jc w:val="both"/>
        <w:rPr>
          <w:rFonts w:asciiTheme="minorHAnsi" w:hAnsiTheme="minorHAnsi" w:cs="Calibri"/>
        </w:rPr>
      </w:pPr>
    </w:p>
    <w:p w14:paraId="26034E41"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b/>
        </w:rPr>
        <w:lastRenderedPageBreak/>
        <w:t>b)</w:t>
      </w:r>
      <w:r w:rsidRPr="00731C06">
        <w:rPr>
          <w:rFonts w:asciiTheme="minorHAnsi" w:hAnsiTheme="minorHAnsi" w:cs="Calibri"/>
        </w:rPr>
        <w:t xml:space="preserve"> Información de manera agrupada por tipo de valor gubernamental o instrumento financiero en la que se considere</w:t>
      </w:r>
      <w:r w:rsidR="001973A2" w:rsidRPr="00731C06">
        <w:rPr>
          <w:rFonts w:asciiTheme="minorHAnsi" w:hAnsiTheme="minorHAnsi" w:cs="Calibri"/>
        </w:rPr>
        <w:t>n</w:t>
      </w:r>
      <w:r w:rsidRPr="00731C06">
        <w:rPr>
          <w:rFonts w:asciiTheme="minorHAnsi" w:hAnsiTheme="minorHAnsi" w:cs="Calibri"/>
        </w:rPr>
        <w:t xml:space="preserve"> intereses, comisiones, tasa, perfil de vencimiento y otros gastos de la deuda.</w:t>
      </w:r>
    </w:p>
    <w:p w14:paraId="67DDEBBA" w14:textId="00AEA81A"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 xml:space="preserve">* Se </w:t>
      </w:r>
      <w:r w:rsidR="000C3365" w:rsidRPr="00731C06">
        <w:rPr>
          <w:rFonts w:asciiTheme="minorHAnsi" w:hAnsiTheme="minorHAnsi" w:cs="Calibri"/>
        </w:rPr>
        <w:t>anexará</w:t>
      </w:r>
      <w:r w:rsidRPr="00731C06">
        <w:rPr>
          <w:rFonts w:asciiTheme="minorHAnsi" w:hAnsiTheme="minorHAnsi" w:cs="Calibri"/>
        </w:rPr>
        <w:t xml:space="preserve"> la informació</w:t>
      </w:r>
      <w:r w:rsidR="005E231E" w:rsidRPr="00731C06">
        <w:rPr>
          <w:rFonts w:asciiTheme="minorHAnsi" w:hAnsiTheme="minorHAnsi" w:cs="Calibri"/>
        </w:rPr>
        <w:t>n en las notas de desglose.</w:t>
      </w:r>
    </w:p>
    <w:p w14:paraId="47A92FC9"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D2E7315" w14:textId="77777777" w:rsidR="008C64F0" w:rsidRPr="00731C06" w:rsidRDefault="008C64F0" w:rsidP="008C64F0">
      <w:pPr>
        <w:tabs>
          <w:tab w:val="left" w:leader="underscore" w:pos="9639"/>
        </w:tabs>
        <w:spacing w:after="0" w:line="240" w:lineRule="auto"/>
        <w:jc w:val="both"/>
        <w:rPr>
          <w:rFonts w:asciiTheme="minorHAnsi" w:hAnsiTheme="minorHAnsi" w:cs="Arial"/>
          <w:sz w:val="20"/>
          <w:szCs w:val="20"/>
        </w:rPr>
      </w:pPr>
      <w:r w:rsidRPr="00731C06">
        <w:rPr>
          <w:rFonts w:asciiTheme="minorHAnsi" w:hAnsiTheme="minorHAnsi" w:cs="Arial"/>
          <w:sz w:val="20"/>
          <w:szCs w:val="20"/>
        </w:rPr>
        <w:t>No aplica por no tener valores gubernamentales</w:t>
      </w:r>
    </w:p>
    <w:p w14:paraId="409B1D78"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19C64A34" w14:textId="7E11CC12" w:rsidR="007D1E76" w:rsidRPr="00731C06" w:rsidRDefault="007D1E76" w:rsidP="000C3365">
      <w:pPr>
        <w:pStyle w:val="Ttulo2"/>
        <w:rPr>
          <w:rFonts w:asciiTheme="minorHAnsi" w:hAnsiTheme="minorHAnsi" w:cstheme="minorHAnsi"/>
          <w:b/>
          <w:color w:val="auto"/>
          <w:sz w:val="22"/>
        </w:rPr>
      </w:pPr>
      <w:bookmarkStart w:id="10" w:name="_Toc161472876"/>
      <w:r w:rsidRPr="00731C06">
        <w:rPr>
          <w:rFonts w:asciiTheme="minorHAnsi" w:hAnsiTheme="minorHAnsi" w:cstheme="minorHAnsi"/>
          <w:b/>
          <w:color w:val="auto"/>
          <w:sz w:val="22"/>
        </w:rPr>
        <w:t>1</w:t>
      </w:r>
      <w:r w:rsidR="005F2900" w:rsidRPr="00731C06">
        <w:rPr>
          <w:rFonts w:asciiTheme="minorHAnsi" w:hAnsiTheme="minorHAnsi" w:cstheme="minorHAnsi"/>
          <w:b/>
          <w:color w:val="auto"/>
          <w:sz w:val="22"/>
        </w:rPr>
        <w:t>1</w:t>
      </w:r>
      <w:r w:rsidRPr="00731C06">
        <w:rPr>
          <w:rFonts w:asciiTheme="minorHAnsi" w:hAnsiTheme="minorHAnsi" w:cstheme="minorHAnsi"/>
          <w:b/>
          <w:color w:val="auto"/>
          <w:sz w:val="22"/>
        </w:rPr>
        <w:t>.</w:t>
      </w:r>
      <w:r w:rsidR="005E231E" w:rsidRPr="00731C06">
        <w:rPr>
          <w:rFonts w:asciiTheme="minorHAnsi" w:hAnsiTheme="minorHAnsi" w:cstheme="minorHAnsi"/>
          <w:b/>
          <w:color w:val="auto"/>
          <w:sz w:val="22"/>
        </w:rPr>
        <w:t xml:space="preserve"> Calificaciones otorgadas:</w:t>
      </w:r>
      <w:bookmarkEnd w:id="10"/>
    </w:p>
    <w:p w14:paraId="67197CE9"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7D9F68C"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Informar, tanto del ente público como cualquier transacción realizada, que haya sido sujeta a una calificación crediticia:</w:t>
      </w:r>
    </w:p>
    <w:p w14:paraId="45A2225C" w14:textId="77777777" w:rsidR="006C12E6" w:rsidRPr="00731C06" w:rsidRDefault="006C12E6" w:rsidP="00CB41C4">
      <w:pPr>
        <w:tabs>
          <w:tab w:val="left" w:leader="underscore" w:pos="9639"/>
        </w:tabs>
        <w:spacing w:after="0" w:line="240" w:lineRule="auto"/>
        <w:jc w:val="both"/>
        <w:rPr>
          <w:rFonts w:asciiTheme="minorHAnsi" w:hAnsiTheme="minorHAnsi" w:cs="Calibri"/>
        </w:rPr>
      </w:pPr>
    </w:p>
    <w:p w14:paraId="05492A5D" w14:textId="77777777" w:rsidR="006C12E6" w:rsidRPr="00731C06" w:rsidRDefault="006C12E6" w:rsidP="006C12E6">
      <w:pPr>
        <w:jc w:val="both"/>
        <w:rPr>
          <w:rFonts w:asciiTheme="minorHAnsi" w:hAnsiTheme="minorHAnsi" w:cs="Arial"/>
          <w:sz w:val="20"/>
          <w:szCs w:val="20"/>
        </w:rPr>
      </w:pPr>
      <w:r w:rsidRPr="00731C06">
        <w:rPr>
          <w:rFonts w:asciiTheme="minorHAnsi" w:hAnsiTheme="minorHAnsi" w:cs="Arial"/>
          <w:sz w:val="20"/>
          <w:szCs w:val="20"/>
        </w:rPr>
        <w:t>No aplica por no tener créditos.</w:t>
      </w:r>
    </w:p>
    <w:p w14:paraId="10B4C763" w14:textId="7FFDB478" w:rsidR="007D1E76" w:rsidRPr="00731C06" w:rsidRDefault="007D1E76" w:rsidP="000C3365">
      <w:pPr>
        <w:pStyle w:val="Ttulo2"/>
        <w:rPr>
          <w:rFonts w:asciiTheme="minorHAnsi" w:hAnsiTheme="minorHAnsi" w:cstheme="minorHAnsi"/>
          <w:b/>
          <w:color w:val="auto"/>
          <w:sz w:val="22"/>
        </w:rPr>
      </w:pPr>
      <w:bookmarkStart w:id="11" w:name="_Toc161472877"/>
      <w:r w:rsidRPr="00731C06">
        <w:rPr>
          <w:rFonts w:asciiTheme="minorHAnsi" w:hAnsiTheme="minorHAnsi" w:cstheme="minorHAnsi"/>
          <w:b/>
          <w:color w:val="auto"/>
          <w:sz w:val="22"/>
        </w:rPr>
        <w:t>1</w:t>
      </w:r>
      <w:r w:rsidR="00F6759B" w:rsidRPr="00731C06">
        <w:rPr>
          <w:rFonts w:asciiTheme="minorHAnsi" w:hAnsiTheme="minorHAnsi" w:cstheme="minorHAnsi"/>
          <w:b/>
          <w:color w:val="auto"/>
          <w:sz w:val="22"/>
        </w:rPr>
        <w:t>2</w:t>
      </w:r>
      <w:r w:rsidRPr="00731C06">
        <w:rPr>
          <w:rFonts w:asciiTheme="minorHAnsi" w:hAnsiTheme="minorHAnsi" w:cstheme="minorHAnsi"/>
          <w:b/>
          <w:color w:val="auto"/>
          <w:sz w:val="22"/>
        </w:rPr>
        <w:t>. Proceso de Mejora:</w:t>
      </w:r>
      <w:bookmarkEnd w:id="11"/>
    </w:p>
    <w:p w14:paraId="0251CC47"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171672D2"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informará de:</w:t>
      </w:r>
    </w:p>
    <w:p w14:paraId="533FB084"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4D639AB5" w14:textId="1DD87457" w:rsidR="007D1E76" w:rsidRPr="00731C06" w:rsidRDefault="007D1E76" w:rsidP="006C12E6">
      <w:pPr>
        <w:pStyle w:val="Prrafodelista"/>
        <w:numPr>
          <w:ilvl w:val="0"/>
          <w:numId w:val="12"/>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Principales Políticas de control interno:</w:t>
      </w:r>
    </w:p>
    <w:p w14:paraId="1CE87B8C" w14:textId="77777777" w:rsidR="006C12E6" w:rsidRPr="00731C06" w:rsidRDefault="006C12E6" w:rsidP="006C12E6">
      <w:pPr>
        <w:tabs>
          <w:tab w:val="left" w:leader="underscore" w:pos="9639"/>
        </w:tabs>
        <w:spacing w:after="0" w:line="240" w:lineRule="auto"/>
        <w:jc w:val="both"/>
        <w:rPr>
          <w:rFonts w:asciiTheme="minorHAnsi" w:hAnsiTheme="minorHAnsi" w:cs="Calibri"/>
        </w:rPr>
      </w:pPr>
    </w:p>
    <w:p w14:paraId="25AD4164" w14:textId="77777777" w:rsidR="006C12E6" w:rsidRPr="00731C06" w:rsidRDefault="006C12E6" w:rsidP="006C12E6">
      <w:pPr>
        <w:jc w:val="both"/>
        <w:rPr>
          <w:rFonts w:asciiTheme="minorHAnsi" w:hAnsiTheme="minorHAnsi" w:cs="Arial"/>
          <w:sz w:val="20"/>
          <w:szCs w:val="20"/>
        </w:rPr>
      </w:pPr>
      <w:r w:rsidRPr="00731C06">
        <w:rPr>
          <w:rFonts w:asciiTheme="minorHAnsi" w:hAnsiTheme="minorHAnsi" w:cs="Arial"/>
          <w:sz w:val="20"/>
          <w:szCs w:val="20"/>
        </w:rPr>
        <w:t>En Proceso se tiene un avance del 90%</w:t>
      </w:r>
    </w:p>
    <w:p w14:paraId="59CFF4B2" w14:textId="11D2CD94" w:rsidR="007D1E76" w:rsidRPr="00731C06" w:rsidRDefault="007D1E76" w:rsidP="006C12E6">
      <w:pPr>
        <w:pStyle w:val="Prrafodelista"/>
        <w:numPr>
          <w:ilvl w:val="0"/>
          <w:numId w:val="12"/>
        </w:num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Medidas de desempeño financiero, metas y alcance:</w:t>
      </w:r>
    </w:p>
    <w:p w14:paraId="354E2449" w14:textId="77777777" w:rsidR="006C12E6" w:rsidRPr="00731C06" w:rsidRDefault="006C12E6" w:rsidP="006C12E6">
      <w:pPr>
        <w:tabs>
          <w:tab w:val="left" w:leader="underscore" w:pos="9639"/>
        </w:tabs>
        <w:spacing w:after="0" w:line="240" w:lineRule="auto"/>
        <w:jc w:val="both"/>
        <w:rPr>
          <w:rFonts w:asciiTheme="minorHAnsi" w:hAnsiTheme="minorHAnsi" w:cs="Calibri"/>
        </w:rPr>
      </w:pPr>
    </w:p>
    <w:p w14:paraId="5975E624" w14:textId="0E8A975B" w:rsidR="006C12E6" w:rsidRPr="00731C06" w:rsidRDefault="006C12E6" w:rsidP="006C12E6">
      <w:pPr>
        <w:jc w:val="both"/>
        <w:rPr>
          <w:rFonts w:asciiTheme="minorHAnsi" w:hAnsiTheme="minorHAnsi" w:cs="Arial"/>
          <w:sz w:val="20"/>
          <w:szCs w:val="20"/>
        </w:rPr>
      </w:pPr>
      <w:r w:rsidRPr="00731C06">
        <w:rPr>
          <w:rFonts w:asciiTheme="minorHAnsi" w:hAnsiTheme="minorHAnsi" w:cs="Arial"/>
          <w:sz w:val="20"/>
          <w:szCs w:val="20"/>
        </w:rPr>
        <w:t xml:space="preserve">Son los que se informa en reporte </w:t>
      </w:r>
      <w:r w:rsidRPr="00731C06">
        <w:rPr>
          <w:rFonts w:asciiTheme="minorHAnsi" w:hAnsiTheme="minorHAnsi" w:cs="Arial"/>
          <w:b/>
          <w:bCs/>
          <w:sz w:val="20"/>
          <w:szCs w:val="20"/>
        </w:rPr>
        <w:t>0333_INR_MLEO_SGP_240</w:t>
      </w:r>
      <w:r w:rsidR="009156F8" w:rsidRPr="00731C06">
        <w:rPr>
          <w:rFonts w:asciiTheme="minorHAnsi" w:hAnsiTheme="minorHAnsi" w:cs="Arial"/>
          <w:b/>
          <w:bCs/>
          <w:sz w:val="20"/>
          <w:szCs w:val="20"/>
        </w:rPr>
        <w:t>2</w:t>
      </w:r>
    </w:p>
    <w:p w14:paraId="3D010C2A" w14:textId="279F5D07" w:rsidR="007D1E76" w:rsidRPr="00731C06" w:rsidRDefault="007D1E76" w:rsidP="000C3365">
      <w:pPr>
        <w:pStyle w:val="Ttulo2"/>
        <w:rPr>
          <w:rFonts w:asciiTheme="minorHAnsi" w:hAnsiTheme="minorHAnsi" w:cstheme="minorHAnsi"/>
          <w:b/>
          <w:color w:val="auto"/>
          <w:sz w:val="22"/>
        </w:rPr>
      </w:pPr>
      <w:bookmarkStart w:id="12" w:name="_Toc161472878"/>
      <w:r w:rsidRPr="00731C06">
        <w:rPr>
          <w:rFonts w:asciiTheme="minorHAnsi" w:hAnsiTheme="minorHAnsi" w:cstheme="minorHAnsi"/>
          <w:b/>
          <w:color w:val="auto"/>
          <w:sz w:val="22"/>
        </w:rPr>
        <w:t>1</w:t>
      </w:r>
      <w:r w:rsidR="00F6759B" w:rsidRPr="00731C06">
        <w:rPr>
          <w:rFonts w:asciiTheme="minorHAnsi" w:hAnsiTheme="minorHAnsi" w:cstheme="minorHAnsi"/>
          <w:b/>
          <w:color w:val="auto"/>
          <w:sz w:val="22"/>
        </w:rPr>
        <w:t>3</w:t>
      </w:r>
      <w:r w:rsidR="005E231E" w:rsidRPr="00731C06">
        <w:rPr>
          <w:rFonts w:asciiTheme="minorHAnsi" w:hAnsiTheme="minorHAnsi" w:cstheme="minorHAnsi"/>
          <w:b/>
          <w:color w:val="auto"/>
          <w:sz w:val="22"/>
        </w:rPr>
        <w:t>. Información por Segmentos:</w:t>
      </w:r>
      <w:bookmarkEnd w:id="12"/>
    </w:p>
    <w:p w14:paraId="6C3C6A04"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64BC1596" w14:textId="46D52ADD" w:rsidR="007D1E76" w:rsidRPr="00731C06" w:rsidRDefault="00806269"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Cuando se considere necesario se podrá revelar la información financiera de manera segmentada debido a la diversidad de las actividades y operaciones que realizan los entes públicos, ya que la misma proporciona información acerca de las diferentes actividades operativas en las cuales participa, de los productos o servicios que maneja, de las diferentes áreas geográficas, de los grupos homogéneos con el objetivo de entender el desempeño del ente, evaluar mejor los riesgos y beneficios del mismo, y entenderlo como un todo y sus partes integrantes</w:t>
      </w:r>
      <w:r w:rsidR="007D1E76" w:rsidRPr="00731C06">
        <w:rPr>
          <w:rFonts w:asciiTheme="minorHAnsi" w:hAnsiTheme="minorHAnsi" w:cs="Calibri"/>
        </w:rPr>
        <w:t>.</w:t>
      </w:r>
    </w:p>
    <w:p w14:paraId="1E94F855"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4078A60"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Consecuentemente, esta información contribuye al análisis más preciso de la situación financiera, grados y fuentes de riesgo y crec</w:t>
      </w:r>
      <w:r w:rsidR="005E231E" w:rsidRPr="00731C06">
        <w:rPr>
          <w:rFonts w:asciiTheme="minorHAnsi" w:hAnsiTheme="minorHAnsi" w:cs="Calibri"/>
        </w:rPr>
        <w:t>imiento potencial de negocio.</w:t>
      </w:r>
    </w:p>
    <w:p w14:paraId="24B2F7D8" w14:textId="77777777" w:rsidR="006C12E6" w:rsidRPr="00731C06" w:rsidRDefault="006C12E6" w:rsidP="00CB41C4">
      <w:pPr>
        <w:tabs>
          <w:tab w:val="left" w:leader="underscore" w:pos="9639"/>
        </w:tabs>
        <w:spacing w:after="0" w:line="240" w:lineRule="auto"/>
        <w:jc w:val="both"/>
        <w:rPr>
          <w:rFonts w:asciiTheme="minorHAnsi" w:hAnsiTheme="minorHAnsi" w:cs="Calibri"/>
        </w:rPr>
      </w:pPr>
    </w:p>
    <w:p w14:paraId="1D4C1785" w14:textId="77777777" w:rsidR="006C12E6" w:rsidRPr="00731C06" w:rsidRDefault="006C12E6" w:rsidP="006C12E6">
      <w:pPr>
        <w:jc w:val="both"/>
        <w:rPr>
          <w:rFonts w:asciiTheme="minorHAnsi" w:hAnsiTheme="minorHAnsi" w:cs="Arial"/>
          <w:sz w:val="20"/>
          <w:szCs w:val="20"/>
        </w:rPr>
      </w:pPr>
      <w:r w:rsidRPr="00731C06">
        <w:rPr>
          <w:rFonts w:asciiTheme="minorHAnsi" w:hAnsiTheme="minorHAnsi" w:cs="Arial"/>
          <w:sz w:val="20"/>
          <w:szCs w:val="20"/>
        </w:rPr>
        <w:t>Nada que manifestar</w:t>
      </w:r>
    </w:p>
    <w:p w14:paraId="5CE772DA" w14:textId="7AAD6A4E" w:rsidR="007D1E76" w:rsidRPr="00731C06" w:rsidRDefault="007D1E76" w:rsidP="000C3365">
      <w:pPr>
        <w:pStyle w:val="Ttulo2"/>
        <w:rPr>
          <w:rFonts w:asciiTheme="minorHAnsi" w:hAnsiTheme="minorHAnsi" w:cstheme="minorHAnsi"/>
          <w:b/>
          <w:color w:val="auto"/>
          <w:sz w:val="22"/>
        </w:rPr>
      </w:pPr>
      <w:bookmarkStart w:id="13" w:name="_Toc161472879"/>
      <w:r w:rsidRPr="00731C06">
        <w:rPr>
          <w:rFonts w:asciiTheme="minorHAnsi" w:hAnsiTheme="minorHAnsi" w:cstheme="minorHAnsi"/>
          <w:b/>
          <w:color w:val="auto"/>
          <w:sz w:val="22"/>
        </w:rPr>
        <w:t>1</w:t>
      </w:r>
      <w:r w:rsidR="004A1077" w:rsidRPr="00731C06">
        <w:rPr>
          <w:rFonts w:asciiTheme="minorHAnsi" w:hAnsiTheme="minorHAnsi" w:cstheme="minorHAnsi"/>
          <w:b/>
          <w:color w:val="auto"/>
          <w:sz w:val="22"/>
        </w:rPr>
        <w:t>4</w:t>
      </w:r>
      <w:r w:rsidRPr="00731C06">
        <w:rPr>
          <w:rFonts w:asciiTheme="minorHAnsi" w:hAnsiTheme="minorHAnsi" w:cstheme="minorHAnsi"/>
          <w:b/>
          <w:color w:val="auto"/>
          <w:sz w:val="22"/>
        </w:rPr>
        <w:t>. E</w:t>
      </w:r>
      <w:r w:rsidR="005E231E" w:rsidRPr="00731C06">
        <w:rPr>
          <w:rFonts w:asciiTheme="minorHAnsi" w:hAnsiTheme="minorHAnsi" w:cstheme="minorHAnsi"/>
          <w:b/>
          <w:color w:val="auto"/>
          <w:sz w:val="22"/>
        </w:rPr>
        <w:t>ventos Posteriores al Cierre:</w:t>
      </w:r>
      <w:bookmarkEnd w:id="13"/>
    </w:p>
    <w:p w14:paraId="362DF4F4"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3FEEEB5E" w14:textId="77777777" w:rsidR="00731C06" w:rsidRDefault="007D1E76" w:rsidP="006C12E6">
      <w:pPr>
        <w:jc w:val="both"/>
        <w:rPr>
          <w:rFonts w:asciiTheme="minorHAnsi" w:hAnsiTheme="minorHAnsi" w:cs="Calibri"/>
        </w:rPr>
      </w:pPr>
      <w:r w:rsidRPr="00731C06">
        <w:rPr>
          <w:rFonts w:asciiTheme="minorHAnsi" w:hAnsiTheme="minorHAnsi" w:cs="Calibri"/>
        </w:rPr>
        <w:t>El ente público informará el efecto en sus estados financieros de aquellos hechos ocurridos en el período posterior al que informa, que proporcionan mayor evidencia sobre eventos que le afectan económicamente y que no se cono</w:t>
      </w:r>
      <w:r w:rsidR="005E231E" w:rsidRPr="00731C06">
        <w:rPr>
          <w:rFonts w:asciiTheme="minorHAnsi" w:hAnsiTheme="minorHAnsi" w:cs="Calibri"/>
        </w:rPr>
        <w:t>cían a la fecha de cierre.</w:t>
      </w:r>
      <w:r w:rsidR="005E231E" w:rsidRPr="00731C06">
        <w:rPr>
          <w:rFonts w:asciiTheme="minorHAnsi" w:hAnsiTheme="minorHAnsi" w:cs="Calibri"/>
        </w:rPr>
        <w:cr/>
      </w:r>
    </w:p>
    <w:p w14:paraId="09ABAB85" w14:textId="4BC84B04" w:rsidR="006C12E6" w:rsidRPr="00731C06" w:rsidRDefault="006C12E6" w:rsidP="006C12E6">
      <w:pPr>
        <w:jc w:val="both"/>
        <w:rPr>
          <w:rFonts w:asciiTheme="minorHAnsi" w:hAnsiTheme="minorHAnsi" w:cs="Arial"/>
          <w:sz w:val="20"/>
          <w:szCs w:val="20"/>
        </w:rPr>
      </w:pPr>
      <w:r w:rsidRPr="00731C06">
        <w:rPr>
          <w:rFonts w:asciiTheme="minorHAnsi" w:hAnsiTheme="minorHAnsi" w:cs="Arial"/>
          <w:sz w:val="20"/>
          <w:szCs w:val="20"/>
        </w:rPr>
        <w:t>Nada que manifestar</w:t>
      </w:r>
    </w:p>
    <w:p w14:paraId="3CC9AECC" w14:textId="4681A2A9" w:rsidR="007D1E76" w:rsidRPr="00731C06" w:rsidRDefault="005E231E" w:rsidP="000C3365">
      <w:pPr>
        <w:pStyle w:val="Ttulo2"/>
        <w:rPr>
          <w:rFonts w:asciiTheme="minorHAnsi" w:hAnsiTheme="minorHAnsi" w:cstheme="minorHAnsi"/>
          <w:b/>
          <w:color w:val="auto"/>
          <w:sz w:val="22"/>
        </w:rPr>
      </w:pPr>
      <w:bookmarkStart w:id="14" w:name="_Toc161472880"/>
      <w:r w:rsidRPr="00731C06">
        <w:rPr>
          <w:rFonts w:asciiTheme="minorHAnsi" w:hAnsiTheme="minorHAnsi" w:cstheme="minorHAnsi"/>
          <w:b/>
          <w:color w:val="auto"/>
          <w:sz w:val="22"/>
        </w:rPr>
        <w:lastRenderedPageBreak/>
        <w:t>1</w:t>
      </w:r>
      <w:r w:rsidR="001C34BC" w:rsidRPr="00731C06">
        <w:rPr>
          <w:rFonts w:asciiTheme="minorHAnsi" w:hAnsiTheme="minorHAnsi" w:cstheme="minorHAnsi"/>
          <w:b/>
          <w:color w:val="auto"/>
          <w:sz w:val="22"/>
        </w:rPr>
        <w:t>5</w:t>
      </w:r>
      <w:r w:rsidRPr="00731C06">
        <w:rPr>
          <w:rFonts w:asciiTheme="minorHAnsi" w:hAnsiTheme="minorHAnsi" w:cstheme="minorHAnsi"/>
          <w:b/>
          <w:color w:val="auto"/>
          <w:sz w:val="22"/>
        </w:rPr>
        <w:t>. Partes Relacionadas:</w:t>
      </w:r>
      <w:bookmarkEnd w:id="14"/>
    </w:p>
    <w:p w14:paraId="20438A33"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A1981F2" w14:textId="77777777" w:rsidR="007D1E76" w:rsidRPr="00731C06" w:rsidRDefault="007D1E76"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Se debe establecer por escrito que no existen partes relacionadas que pudieran ejercer influencia significativa sobre la toma de decisiones financieras y operativas:</w:t>
      </w:r>
    </w:p>
    <w:p w14:paraId="5A11C50B" w14:textId="77777777" w:rsidR="006C12E6" w:rsidRPr="00731C06" w:rsidRDefault="006C12E6" w:rsidP="00CB41C4">
      <w:pPr>
        <w:tabs>
          <w:tab w:val="left" w:leader="underscore" w:pos="9639"/>
        </w:tabs>
        <w:spacing w:after="0" w:line="240" w:lineRule="auto"/>
        <w:jc w:val="both"/>
        <w:rPr>
          <w:rFonts w:asciiTheme="minorHAnsi" w:hAnsiTheme="minorHAnsi" w:cs="Calibri"/>
        </w:rPr>
      </w:pPr>
    </w:p>
    <w:p w14:paraId="3F95AC2C" w14:textId="77777777" w:rsidR="006C12E6" w:rsidRPr="00731C06" w:rsidRDefault="006C12E6" w:rsidP="006C12E6">
      <w:pPr>
        <w:jc w:val="both"/>
        <w:rPr>
          <w:rFonts w:asciiTheme="minorHAnsi" w:hAnsiTheme="minorHAnsi" w:cs="Calibri"/>
        </w:rPr>
      </w:pPr>
      <w:r w:rsidRPr="00731C06">
        <w:rPr>
          <w:rFonts w:asciiTheme="minorHAnsi" w:hAnsiTheme="minorHAnsi" w:cs="Arial"/>
          <w:sz w:val="20"/>
          <w:szCs w:val="20"/>
        </w:rPr>
        <w:t>No aplica por no contar con partes relacionadas.</w:t>
      </w:r>
    </w:p>
    <w:p w14:paraId="06707DA2" w14:textId="111599B2" w:rsidR="007D1E76" w:rsidRPr="00731C06" w:rsidRDefault="007D1E76" w:rsidP="00F46719">
      <w:pPr>
        <w:pStyle w:val="Ttulo2"/>
        <w:rPr>
          <w:rFonts w:asciiTheme="minorHAnsi" w:hAnsiTheme="minorHAnsi" w:cstheme="minorHAnsi"/>
          <w:b/>
          <w:color w:val="auto"/>
          <w:sz w:val="22"/>
        </w:rPr>
      </w:pPr>
      <w:bookmarkStart w:id="15" w:name="_Toc161472881"/>
      <w:r w:rsidRPr="00731C06">
        <w:rPr>
          <w:rFonts w:asciiTheme="minorHAnsi" w:hAnsiTheme="minorHAnsi" w:cstheme="minorHAnsi"/>
          <w:b/>
          <w:color w:val="auto"/>
          <w:sz w:val="22"/>
        </w:rPr>
        <w:t>1</w:t>
      </w:r>
      <w:r w:rsidR="001C34BC" w:rsidRPr="00731C06">
        <w:rPr>
          <w:rFonts w:asciiTheme="minorHAnsi" w:hAnsiTheme="minorHAnsi" w:cstheme="minorHAnsi"/>
          <w:b/>
          <w:color w:val="auto"/>
          <w:sz w:val="22"/>
        </w:rPr>
        <w:t>6</w:t>
      </w:r>
      <w:r w:rsidRPr="00731C06">
        <w:rPr>
          <w:rFonts w:asciiTheme="minorHAnsi" w:hAnsiTheme="minorHAnsi" w:cstheme="minorHAnsi"/>
          <w:b/>
          <w:color w:val="auto"/>
          <w:sz w:val="22"/>
        </w:rPr>
        <w:t xml:space="preserve">. </w:t>
      </w:r>
      <w:r w:rsidR="001973A2" w:rsidRPr="00731C06">
        <w:rPr>
          <w:rFonts w:asciiTheme="minorHAnsi" w:hAnsiTheme="minorHAnsi" w:cstheme="minorHAnsi"/>
          <w:b/>
          <w:color w:val="auto"/>
          <w:sz w:val="22"/>
        </w:rPr>
        <w:t>Responsabilidad Sobre la Presentación Razonable de la Información Contable</w:t>
      </w:r>
      <w:r w:rsidR="005E231E" w:rsidRPr="00731C06">
        <w:rPr>
          <w:rFonts w:asciiTheme="minorHAnsi" w:hAnsiTheme="minorHAnsi" w:cstheme="minorHAnsi"/>
          <w:b/>
          <w:color w:val="auto"/>
          <w:sz w:val="22"/>
        </w:rPr>
        <w:t>:</w:t>
      </w:r>
      <w:bookmarkEnd w:id="15"/>
    </w:p>
    <w:p w14:paraId="24905817" w14:textId="77777777" w:rsidR="007D1E76" w:rsidRPr="00731C06" w:rsidRDefault="007D1E76" w:rsidP="00CB41C4">
      <w:pPr>
        <w:tabs>
          <w:tab w:val="left" w:leader="underscore" w:pos="9639"/>
        </w:tabs>
        <w:spacing w:after="0" w:line="240" w:lineRule="auto"/>
        <w:jc w:val="both"/>
        <w:rPr>
          <w:rFonts w:asciiTheme="minorHAnsi" w:hAnsiTheme="minorHAnsi" w:cs="Calibri"/>
        </w:rPr>
      </w:pPr>
    </w:p>
    <w:p w14:paraId="50903296" w14:textId="5A74BBD3" w:rsidR="007D1E76" w:rsidRPr="00731C06" w:rsidRDefault="00C4625D" w:rsidP="00CB41C4">
      <w:pPr>
        <w:tabs>
          <w:tab w:val="left" w:leader="underscore" w:pos="9639"/>
        </w:tabs>
        <w:spacing w:after="0" w:line="240" w:lineRule="auto"/>
        <w:jc w:val="both"/>
        <w:rPr>
          <w:rFonts w:asciiTheme="minorHAnsi" w:hAnsiTheme="minorHAnsi" w:cs="Calibri"/>
        </w:rPr>
      </w:pPr>
      <w:r w:rsidRPr="00731C06">
        <w:rPr>
          <w:rFonts w:asciiTheme="minorHAnsi" w:hAnsiTheme="minorHAnsi" w:cs="Calibri"/>
        </w:rPr>
        <w:t>La Información Contable deberá estar firmada en cada página de la misma e incluir al final la siguiente leyenda: “Bajo protesta de decir verdad declaramos que los Estados Financieros y sus notas, son razonablemente correctos y son responsabilidad del emisor”. Lo anterior, no será aplicable para la información contable consolidada</w:t>
      </w:r>
      <w:r w:rsidR="001973A2" w:rsidRPr="00731C06">
        <w:rPr>
          <w:rFonts w:asciiTheme="minorHAnsi" w:hAnsiTheme="minorHAnsi" w:cs="Calibri"/>
        </w:rPr>
        <w:t>.</w:t>
      </w:r>
    </w:p>
    <w:p w14:paraId="2092EF68" w14:textId="77777777" w:rsidR="00D5018E" w:rsidRPr="00731C06" w:rsidRDefault="00D5018E" w:rsidP="00D5018E">
      <w:pPr>
        <w:pBdr>
          <w:bottom w:val="single" w:sz="12" w:space="1" w:color="auto"/>
        </w:pBdr>
        <w:tabs>
          <w:tab w:val="left" w:leader="underscore" w:pos="9639"/>
        </w:tabs>
        <w:spacing w:after="0" w:line="240" w:lineRule="auto"/>
        <w:jc w:val="both"/>
        <w:rPr>
          <w:rFonts w:asciiTheme="minorHAnsi" w:hAnsiTheme="minorHAnsi" w:cs="Calibri"/>
        </w:rPr>
      </w:pPr>
    </w:p>
    <w:p w14:paraId="16E74ADB" w14:textId="77777777" w:rsidR="00231FBE" w:rsidRPr="00731C06" w:rsidRDefault="00231FBE" w:rsidP="00D5018E">
      <w:pPr>
        <w:pBdr>
          <w:bottom w:val="single" w:sz="12" w:space="1" w:color="auto"/>
        </w:pBdr>
        <w:tabs>
          <w:tab w:val="left" w:leader="underscore" w:pos="9639"/>
        </w:tabs>
        <w:spacing w:after="0" w:line="240" w:lineRule="auto"/>
        <w:jc w:val="both"/>
        <w:rPr>
          <w:rFonts w:asciiTheme="minorHAnsi" w:hAnsiTheme="minorHAnsi" w:cs="Calibri"/>
        </w:rPr>
      </w:pPr>
    </w:p>
    <w:p w14:paraId="3FF73356" w14:textId="77777777" w:rsidR="00D5018E" w:rsidRPr="00731C06" w:rsidRDefault="00D5018E" w:rsidP="00D5018E">
      <w:pPr>
        <w:tabs>
          <w:tab w:val="left" w:leader="underscore" w:pos="9639"/>
        </w:tabs>
        <w:spacing w:after="0" w:line="240" w:lineRule="auto"/>
        <w:jc w:val="both"/>
        <w:rPr>
          <w:rFonts w:asciiTheme="minorHAnsi" w:hAnsiTheme="minorHAnsi" w:cstheme="minorHAnsi"/>
          <w:b/>
          <w:sz w:val="24"/>
          <w:szCs w:val="24"/>
        </w:rPr>
      </w:pPr>
    </w:p>
    <w:p w14:paraId="097939D2" w14:textId="251AB0E9" w:rsidR="00D5018E" w:rsidRPr="00731C06" w:rsidRDefault="00D5018E" w:rsidP="00D5018E">
      <w:pPr>
        <w:tabs>
          <w:tab w:val="left" w:leader="underscore" w:pos="9639"/>
        </w:tabs>
        <w:spacing w:after="0" w:line="240" w:lineRule="auto"/>
        <w:jc w:val="both"/>
        <w:rPr>
          <w:rFonts w:asciiTheme="minorHAnsi" w:hAnsiTheme="minorHAnsi" w:cstheme="minorHAnsi"/>
          <w:sz w:val="24"/>
          <w:szCs w:val="24"/>
        </w:rPr>
      </w:pPr>
      <w:r w:rsidRPr="00731C06">
        <w:rPr>
          <w:rFonts w:asciiTheme="minorHAnsi" w:hAnsiTheme="minorHAnsi" w:cstheme="minorHAnsi"/>
          <w:b/>
          <w:sz w:val="24"/>
          <w:szCs w:val="24"/>
        </w:rPr>
        <w:t>Nota 1</w:t>
      </w:r>
      <w:r w:rsidRPr="00731C06">
        <w:rPr>
          <w:rFonts w:asciiTheme="minorHAnsi" w:hAnsiTheme="minorHAnsi" w:cstheme="minorHAnsi"/>
          <w:sz w:val="24"/>
          <w:szCs w:val="24"/>
        </w:rPr>
        <w:t>: En cada una de las 1</w:t>
      </w:r>
      <w:r w:rsidR="005053EE" w:rsidRPr="00731C06">
        <w:rPr>
          <w:rFonts w:asciiTheme="minorHAnsi" w:hAnsiTheme="minorHAnsi" w:cstheme="minorHAnsi"/>
          <w:sz w:val="24"/>
          <w:szCs w:val="24"/>
        </w:rPr>
        <w:t>5</w:t>
      </w:r>
      <w:r w:rsidRPr="00731C06">
        <w:rPr>
          <w:rFonts w:asciiTheme="minorHAnsi" w:hAnsiTheme="minorHAnsi" w:cstheme="minorHAnsi"/>
          <w:sz w:val="24"/>
          <w:szCs w:val="24"/>
        </w:rPr>
        <w:t xml:space="preserve"> notas de gestión administrativa el ente público deberá poner la nota correspondiente o en su caso la leyenda “</w:t>
      </w:r>
      <w:r w:rsidRPr="00731C06">
        <w:rPr>
          <w:rFonts w:asciiTheme="minorHAnsi" w:hAnsiTheme="minorHAnsi" w:cstheme="minorHAnsi"/>
          <w:b/>
          <w:bCs/>
          <w:sz w:val="24"/>
          <w:szCs w:val="24"/>
        </w:rPr>
        <w:t>Esta nota no le aplica al ente público” y una breve explicación del motivo por el cual no le es aplicable</w:t>
      </w:r>
      <w:r w:rsidRPr="00731C06">
        <w:rPr>
          <w:rFonts w:asciiTheme="minorHAnsi" w:hAnsiTheme="minorHAnsi" w:cstheme="minorHAnsi"/>
          <w:sz w:val="24"/>
          <w:szCs w:val="24"/>
        </w:rPr>
        <w:t>.</w:t>
      </w:r>
      <w:r w:rsidR="000310EF" w:rsidRPr="00731C06">
        <w:rPr>
          <w:rFonts w:asciiTheme="minorHAnsi" w:hAnsiTheme="minorHAnsi" w:cstheme="minorHAnsi"/>
          <w:sz w:val="24"/>
          <w:szCs w:val="24"/>
        </w:rPr>
        <w:t xml:space="preserve"> 06-12-2022</w:t>
      </w:r>
    </w:p>
    <w:p w14:paraId="0AABDD06" w14:textId="77777777" w:rsidR="00D5018E" w:rsidRPr="00731C06" w:rsidRDefault="00D5018E" w:rsidP="00D5018E">
      <w:pPr>
        <w:pBdr>
          <w:bottom w:val="single" w:sz="12" w:space="1" w:color="auto"/>
        </w:pBdr>
        <w:tabs>
          <w:tab w:val="left" w:leader="underscore" w:pos="9639"/>
        </w:tabs>
        <w:spacing w:after="0" w:line="240" w:lineRule="auto"/>
        <w:jc w:val="both"/>
        <w:rPr>
          <w:rFonts w:asciiTheme="minorHAnsi" w:hAnsiTheme="minorHAnsi" w:cs="Calibri"/>
        </w:rPr>
      </w:pPr>
    </w:p>
    <w:p w14:paraId="74D16815" w14:textId="77777777" w:rsidR="00D5018E" w:rsidRPr="00731C06" w:rsidRDefault="00D5018E" w:rsidP="00CB41C4">
      <w:pPr>
        <w:tabs>
          <w:tab w:val="left" w:leader="underscore" w:pos="9639"/>
        </w:tabs>
        <w:spacing w:after="0" w:line="240" w:lineRule="auto"/>
        <w:jc w:val="both"/>
        <w:rPr>
          <w:rFonts w:asciiTheme="minorHAnsi" w:hAnsiTheme="minorHAnsi" w:cs="Calibri"/>
        </w:rPr>
      </w:pPr>
    </w:p>
    <w:p w14:paraId="6B0B2CBE" w14:textId="77777777" w:rsidR="006C12E6" w:rsidRPr="00731C06" w:rsidRDefault="006C12E6" w:rsidP="00CB41C4">
      <w:pPr>
        <w:tabs>
          <w:tab w:val="left" w:leader="underscore" w:pos="9639"/>
        </w:tabs>
        <w:spacing w:after="0" w:line="240" w:lineRule="auto"/>
        <w:jc w:val="both"/>
        <w:rPr>
          <w:rFonts w:asciiTheme="minorHAnsi" w:hAnsiTheme="minorHAnsi" w:cs="Calibri"/>
        </w:rPr>
      </w:pPr>
    </w:p>
    <w:tbl>
      <w:tblPr>
        <w:tblW w:w="9838" w:type="dxa"/>
        <w:tblCellMar>
          <w:left w:w="70" w:type="dxa"/>
          <w:right w:w="70" w:type="dxa"/>
        </w:tblCellMar>
        <w:tblLook w:val="04A0" w:firstRow="1" w:lastRow="0" w:firstColumn="1" w:lastColumn="0" w:noHBand="0" w:noVBand="1"/>
      </w:tblPr>
      <w:tblGrid>
        <w:gridCol w:w="7197"/>
        <w:gridCol w:w="2529"/>
        <w:gridCol w:w="146"/>
      </w:tblGrid>
      <w:tr w:rsidR="006C12E6" w:rsidRPr="00731C06" w14:paraId="7F9E5F5A" w14:textId="77777777" w:rsidTr="006C12E6">
        <w:trPr>
          <w:trHeight w:val="296"/>
        </w:trPr>
        <w:tc>
          <w:tcPr>
            <w:tcW w:w="9838" w:type="dxa"/>
            <w:gridSpan w:val="3"/>
            <w:tcBorders>
              <w:top w:val="nil"/>
              <w:left w:val="nil"/>
              <w:bottom w:val="nil"/>
              <w:right w:val="nil"/>
            </w:tcBorders>
            <w:shd w:val="clear" w:color="auto" w:fill="auto"/>
            <w:noWrap/>
            <w:hideMark/>
          </w:tcPr>
          <w:p w14:paraId="30066005" w14:textId="77777777" w:rsidR="006C12E6" w:rsidRPr="00731C06" w:rsidRDefault="006C12E6" w:rsidP="00731C06">
            <w:pPr>
              <w:spacing w:after="0" w:line="240" w:lineRule="auto"/>
              <w:ind w:firstLineChars="100" w:firstLine="201"/>
              <w:rPr>
                <w:rFonts w:asciiTheme="minorHAnsi" w:eastAsia="Times New Roman" w:hAnsiTheme="minorHAnsi" w:cs="Arial"/>
                <w:b/>
                <w:sz w:val="20"/>
                <w:szCs w:val="20"/>
                <w:lang w:eastAsia="es-MX"/>
              </w:rPr>
            </w:pPr>
            <w:r w:rsidRPr="00731C06">
              <w:rPr>
                <w:rFonts w:asciiTheme="minorHAnsi" w:eastAsia="Times New Roman" w:hAnsiTheme="minorHAnsi" w:cs="Arial"/>
                <w:b/>
                <w:sz w:val="20"/>
                <w:szCs w:val="20"/>
                <w:lang w:eastAsia="es-MX"/>
              </w:rPr>
              <w:t>Bajo protesta de decir verdad declaramos que los Estados Financieros y sus notas, son razonablemente correctos y son responsabilidad del emisor.</w:t>
            </w:r>
          </w:p>
        </w:tc>
      </w:tr>
      <w:tr w:rsidR="006C12E6" w:rsidRPr="00731C06" w14:paraId="346A3819" w14:textId="77777777" w:rsidTr="006C12E6">
        <w:trPr>
          <w:trHeight w:val="228"/>
        </w:trPr>
        <w:tc>
          <w:tcPr>
            <w:tcW w:w="7197" w:type="dxa"/>
            <w:tcBorders>
              <w:top w:val="nil"/>
              <w:left w:val="nil"/>
              <w:bottom w:val="nil"/>
              <w:right w:val="nil"/>
            </w:tcBorders>
            <w:shd w:val="clear" w:color="auto" w:fill="auto"/>
            <w:noWrap/>
            <w:hideMark/>
          </w:tcPr>
          <w:p w14:paraId="79BD0118" w14:textId="77777777" w:rsidR="006C12E6" w:rsidRPr="00731C06" w:rsidRDefault="006C12E6" w:rsidP="006C12E6">
            <w:pPr>
              <w:spacing w:after="0" w:line="240" w:lineRule="auto"/>
              <w:ind w:firstLineChars="100" w:firstLine="200"/>
              <w:rPr>
                <w:rFonts w:asciiTheme="minorHAnsi" w:eastAsia="Times New Roman" w:hAnsiTheme="minorHAnsi" w:cs="Arial"/>
                <w:sz w:val="20"/>
                <w:szCs w:val="20"/>
                <w:lang w:eastAsia="es-MX"/>
              </w:rPr>
            </w:pPr>
          </w:p>
        </w:tc>
        <w:tc>
          <w:tcPr>
            <w:tcW w:w="2529" w:type="dxa"/>
            <w:tcBorders>
              <w:top w:val="nil"/>
              <w:left w:val="nil"/>
              <w:bottom w:val="nil"/>
              <w:right w:val="nil"/>
            </w:tcBorders>
            <w:shd w:val="clear" w:color="auto" w:fill="auto"/>
            <w:noWrap/>
            <w:hideMark/>
          </w:tcPr>
          <w:p w14:paraId="62DFEA3B" w14:textId="77777777" w:rsidR="006C12E6" w:rsidRPr="00731C06" w:rsidRDefault="006C12E6" w:rsidP="006C12E6">
            <w:pPr>
              <w:spacing w:after="0" w:line="240" w:lineRule="auto"/>
              <w:rPr>
                <w:rFonts w:asciiTheme="minorHAnsi" w:eastAsia="Times New Roman" w:hAnsiTheme="minorHAnsi"/>
                <w:sz w:val="20"/>
                <w:szCs w:val="20"/>
                <w:lang w:eastAsia="es-MX"/>
              </w:rPr>
            </w:pPr>
          </w:p>
        </w:tc>
        <w:tc>
          <w:tcPr>
            <w:tcW w:w="110" w:type="dxa"/>
            <w:tcBorders>
              <w:top w:val="nil"/>
              <w:left w:val="nil"/>
              <w:bottom w:val="nil"/>
              <w:right w:val="nil"/>
            </w:tcBorders>
            <w:shd w:val="clear" w:color="auto" w:fill="auto"/>
            <w:noWrap/>
            <w:hideMark/>
          </w:tcPr>
          <w:p w14:paraId="4329C4A8" w14:textId="77777777" w:rsidR="006C12E6" w:rsidRPr="00731C06" w:rsidRDefault="006C12E6" w:rsidP="006C12E6">
            <w:pPr>
              <w:spacing w:after="0" w:line="240" w:lineRule="auto"/>
              <w:rPr>
                <w:rFonts w:asciiTheme="minorHAnsi" w:eastAsia="Times New Roman" w:hAnsiTheme="minorHAnsi"/>
                <w:sz w:val="20"/>
                <w:szCs w:val="20"/>
                <w:lang w:eastAsia="es-MX"/>
              </w:rPr>
            </w:pPr>
          </w:p>
        </w:tc>
      </w:tr>
      <w:tr w:rsidR="006C12E6" w:rsidRPr="00731C06" w14:paraId="66DEF71A" w14:textId="77777777" w:rsidTr="006C12E6">
        <w:trPr>
          <w:trHeight w:val="228"/>
        </w:trPr>
        <w:tc>
          <w:tcPr>
            <w:tcW w:w="7197" w:type="dxa"/>
            <w:tcBorders>
              <w:top w:val="nil"/>
              <w:left w:val="nil"/>
              <w:bottom w:val="nil"/>
              <w:right w:val="nil"/>
            </w:tcBorders>
            <w:shd w:val="clear" w:color="auto" w:fill="auto"/>
            <w:noWrap/>
            <w:hideMark/>
          </w:tcPr>
          <w:p w14:paraId="69F6F377" w14:textId="77777777" w:rsidR="006C12E6" w:rsidRPr="00731C06" w:rsidRDefault="006C12E6" w:rsidP="006C12E6">
            <w:pPr>
              <w:spacing w:after="0" w:line="240" w:lineRule="auto"/>
              <w:rPr>
                <w:rFonts w:asciiTheme="minorHAnsi" w:eastAsia="Times New Roman" w:hAnsiTheme="minorHAnsi"/>
                <w:sz w:val="20"/>
                <w:szCs w:val="20"/>
                <w:lang w:eastAsia="es-MX"/>
              </w:rPr>
            </w:pPr>
          </w:p>
        </w:tc>
        <w:tc>
          <w:tcPr>
            <w:tcW w:w="2529" w:type="dxa"/>
            <w:tcBorders>
              <w:top w:val="nil"/>
              <w:left w:val="nil"/>
              <w:bottom w:val="nil"/>
              <w:right w:val="nil"/>
            </w:tcBorders>
            <w:shd w:val="clear" w:color="auto" w:fill="auto"/>
            <w:noWrap/>
            <w:hideMark/>
          </w:tcPr>
          <w:p w14:paraId="41E71B02" w14:textId="77777777" w:rsidR="006C12E6" w:rsidRPr="00731C06" w:rsidRDefault="006C12E6" w:rsidP="006C12E6">
            <w:pPr>
              <w:spacing w:after="0" w:line="240" w:lineRule="auto"/>
              <w:rPr>
                <w:rFonts w:asciiTheme="minorHAnsi" w:eastAsia="Times New Roman" w:hAnsiTheme="minorHAnsi"/>
                <w:sz w:val="20"/>
                <w:szCs w:val="20"/>
                <w:lang w:eastAsia="es-MX"/>
              </w:rPr>
            </w:pPr>
          </w:p>
        </w:tc>
        <w:tc>
          <w:tcPr>
            <w:tcW w:w="110" w:type="dxa"/>
            <w:tcBorders>
              <w:top w:val="nil"/>
              <w:left w:val="nil"/>
              <w:bottom w:val="nil"/>
              <w:right w:val="nil"/>
            </w:tcBorders>
            <w:shd w:val="clear" w:color="auto" w:fill="auto"/>
            <w:noWrap/>
            <w:hideMark/>
          </w:tcPr>
          <w:p w14:paraId="5A040274" w14:textId="77777777" w:rsidR="006C12E6" w:rsidRPr="00731C06" w:rsidRDefault="006C12E6" w:rsidP="006C12E6">
            <w:pPr>
              <w:spacing w:after="0" w:line="240" w:lineRule="auto"/>
              <w:rPr>
                <w:rFonts w:asciiTheme="minorHAnsi" w:eastAsia="Times New Roman" w:hAnsiTheme="minorHAnsi"/>
                <w:sz w:val="20"/>
                <w:szCs w:val="20"/>
                <w:lang w:eastAsia="es-MX"/>
              </w:rPr>
            </w:pPr>
          </w:p>
        </w:tc>
      </w:tr>
      <w:tr w:rsidR="006C12E6" w:rsidRPr="00731C06" w14:paraId="799FBC26" w14:textId="77777777" w:rsidTr="006C12E6">
        <w:trPr>
          <w:trHeight w:val="228"/>
        </w:trPr>
        <w:tc>
          <w:tcPr>
            <w:tcW w:w="7197" w:type="dxa"/>
            <w:tcBorders>
              <w:top w:val="nil"/>
              <w:left w:val="nil"/>
              <w:bottom w:val="nil"/>
              <w:right w:val="nil"/>
            </w:tcBorders>
            <w:shd w:val="clear" w:color="auto" w:fill="auto"/>
            <w:noWrap/>
            <w:hideMark/>
          </w:tcPr>
          <w:p w14:paraId="5DF2B86F" w14:textId="77777777" w:rsidR="006C12E6" w:rsidRDefault="006C12E6" w:rsidP="006C12E6">
            <w:pPr>
              <w:spacing w:after="0" w:line="240" w:lineRule="auto"/>
              <w:rPr>
                <w:rFonts w:asciiTheme="minorHAnsi" w:eastAsia="Times New Roman" w:hAnsiTheme="minorHAnsi"/>
                <w:sz w:val="20"/>
                <w:szCs w:val="20"/>
                <w:lang w:eastAsia="es-MX"/>
              </w:rPr>
            </w:pPr>
          </w:p>
          <w:p w14:paraId="0F990730" w14:textId="77777777" w:rsidR="00731C06" w:rsidRDefault="00731C06" w:rsidP="006C12E6">
            <w:pPr>
              <w:spacing w:after="0" w:line="240" w:lineRule="auto"/>
              <w:rPr>
                <w:rFonts w:asciiTheme="minorHAnsi" w:eastAsia="Times New Roman" w:hAnsiTheme="minorHAnsi"/>
                <w:sz w:val="20"/>
                <w:szCs w:val="20"/>
                <w:lang w:eastAsia="es-MX"/>
              </w:rPr>
            </w:pPr>
          </w:p>
          <w:p w14:paraId="439A6E50" w14:textId="77777777" w:rsidR="00731C06" w:rsidRDefault="00731C06" w:rsidP="006C12E6">
            <w:pPr>
              <w:spacing w:after="0" w:line="240" w:lineRule="auto"/>
              <w:rPr>
                <w:rFonts w:asciiTheme="minorHAnsi" w:eastAsia="Times New Roman" w:hAnsiTheme="minorHAnsi"/>
                <w:sz w:val="20"/>
                <w:szCs w:val="20"/>
                <w:lang w:eastAsia="es-MX"/>
              </w:rPr>
            </w:pPr>
          </w:p>
          <w:p w14:paraId="1686D3CC" w14:textId="77777777" w:rsidR="00731C06" w:rsidRDefault="00731C06" w:rsidP="006C12E6">
            <w:pPr>
              <w:spacing w:after="0" w:line="240" w:lineRule="auto"/>
              <w:rPr>
                <w:rFonts w:asciiTheme="minorHAnsi" w:eastAsia="Times New Roman" w:hAnsiTheme="minorHAnsi"/>
                <w:sz w:val="20"/>
                <w:szCs w:val="20"/>
                <w:lang w:eastAsia="es-MX"/>
              </w:rPr>
            </w:pPr>
          </w:p>
          <w:p w14:paraId="4D77FFB1" w14:textId="77777777" w:rsidR="00731C06" w:rsidRDefault="00731C06" w:rsidP="006C12E6">
            <w:pPr>
              <w:spacing w:after="0" w:line="240" w:lineRule="auto"/>
              <w:rPr>
                <w:rFonts w:asciiTheme="minorHAnsi" w:eastAsia="Times New Roman" w:hAnsiTheme="minorHAnsi"/>
                <w:sz w:val="20"/>
                <w:szCs w:val="20"/>
                <w:lang w:eastAsia="es-MX"/>
              </w:rPr>
            </w:pPr>
          </w:p>
          <w:p w14:paraId="12BA8DEB" w14:textId="77777777" w:rsidR="00731C06" w:rsidRPr="00731C06" w:rsidRDefault="00731C06" w:rsidP="006C12E6">
            <w:pPr>
              <w:spacing w:after="0" w:line="240" w:lineRule="auto"/>
              <w:rPr>
                <w:rFonts w:asciiTheme="minorHAnsi" w:eastAsia="Times New Roman" w:hAnsiTheme="minorHAnsi"/>
                <w:sz w:val="20"/>
                <w:szCs w:val="20"/>
                <w:lang w:eastAsia="es-MX"/>
              </w:rPr>
            </w:pPr>
          </w:p>
        </w:tc>
        <w:tc>
          <w:tcPr>
            <w:tcW w:w="2529" w:type="dxa"/>
            <w:tcBorders>
              <w:top w:val="nil"/>
              <w:left w:val="nil"/>
              <w:bottom w:val="nil"/>
              <w:right w:val="nil"/>
            </w:tcBorders>
            <w:shd w:val="clear" w:color="auto" w:fill="auto"/>
            <w:noWrap/>
            <w:hideMark/>
          </w:tcPr>
          <w:p w14:paraId="19E33250" w14:textId="77777777" w:rsidR="006C12E6" w:rsidRPr="00731C06" w:rsidRDefault="006C12E6" w:rsidP="006C12E6">
            <w:pPr>
              <w:spacing w:after="0" w:line="240" w:lineRule="auto"/>
              <w:rPr>
                <w:rFonts w:asciiTheme="minorHAnsi" w:eastAsia="Times New Roman" w:hAnsiTheme="minorHAnsi"/>
                <w:sz w:val="20"/>
                <w:szCs w:val="20"/>
                <w:lang w:eastAsia="es-MX"/>
              </w:rPr>
            </w:pPr>
          </w:p>
        </w:tc>
        <w:tc>
          <w:tcPr>
            <w:tcW w:w="110" w:type="dxa"/>
            <w:tcBorders>
              <w:top w:val="nil"/>
              <w:left w:val="nil"/>
              <w:bottom w:val="nil"/>
              <w:right w:val="nil"/>
            </w:tcBorders>
            <w:shd w:val="clear" w:color="auto" w:fill="auto"/>
            <w:noWrap/>
            <w:hideMark/>
          </w:tcPr>
          <w:p w14:paraId="3C0DD48B" w14:textId="77777777" w:rsidR="006C12E6" w:rsidRPr="00731C06" w:rsidRDefault="006C12E6" w:rsidP="006C12E6">
            <w:pPr>
              <w:spacing w:after="0" w:line="240" w:lineRule="auto"/>
              <w:rPr>
                <w:rFonts w:asciiTheme="minorHAnsi" w:eastAsia="Times New Roman" w:hAnsiTheme="minorHAnsi"/>
                <w:sz w:val="20"/>
                <w:szCs w:val="20"/>
                <w:lang w:eastAsia="es-MX"/>
              </w:rPr>
            </w:pPr>
          </w:p>
        </w:tc>
      </w:tr>
      <w:tr w:rsidR="006C12E6" w:rsidRPr="00731C06" w14:paraId="04CA2E01" w14:textId="77777777" w:rsidTr="006C12E6">
        <w:trPr>
          <w:trHeight w:val="228"/>
        </w:trPr>
        <w:tc>
          <w:tcPr>
            <w:tcW w:w="7197" w:type="dxa"/>
            <w:tcBorders>
              <w:top w:val="nil"/>
              <w:left w:val="nil"/>
              <w:bottom w:val="nil"/>
              <w:right w:val="nil"/>
            </w:tcBorders>
            <w:shd w:val="clear" w:color="auto" w:fill="auto"/>
            <w:vAlign w:val="bottom"/>
            <w:hideMark/>
          </w:tcPr>
          <w:p w14:paraId="0001EDFA" w14:textId="77777777" w:rsidR="006C12E6" w:rsidRPr="00731C06" w:rsidRDefault="006C12E6" w:rsidP="006C12E6">
            <w:pPr>
              <w:spacing w:after="0" w:line="240" w:lineRule="auto"/>
              <w:rPr>
                <w:rFonts w:asciiTheme="minorHAnsi" w:eastAsia="Times New Roman" w:hAnsiTheme="minorHAnsi" w:cs="Arial"/>
                <w:b/>
                <w:bCs/>
                <w:sz w:val="16"/>
                <w:szCs w:val="16"/>
                <w:lang w:eastAsia="es-MX"/>
              </w:rPr>
            </w:pPr>
            <w:r w:rsidRPr="00731C06">
              <w:rPr>
                <w:rFonts w:asciiTheme="minorHAnsi" w:eastAsia="Times New Roman" w:hAnsiTheme="minorHAnsi" w:cs="Arial"/>
                <w:b/>
                <w:bCs/>
                <w:sz w:val="16"/>
                <w:szCs w:val="16"/>
                <w:lang w:eastAsia="es-MX"/>
              </w:rPr>
              <w:t>_______________________________________________</w:t>
            </w:r>
          </w:p>
        </w:tc>
        <w:tc>
          <w:tcPr>
            <w:tcW w:w="2529" w:type="dxa"/>
            <w:tcBorders>
              <w:top w:val="nil"/>
              <w:left w:val="nil"/>
              <w:bottom w:val="nil"/>
              <w:right w:val="nil"/>
            </w:tcBorders>
            <w:shd w:val="clear" w:color="auto" w:fill="auto"/>
            <w:noWrap/>
            <w:hideMark/>
          </w:tcPr>
          <w:p w14:paraId="65134026" w14:textId="77777777" w:rsidR="006C12E6" w:rsidRPr="00731C06" w:rsidRDefault="006C12E6" w:rsidP="006C12E6">
            <w:pPr>
              <w:spacing w:after="0" w:line="240" w:lineRule="auto"/>
              <w:rPr>
                <w:rFonts w:asciiTheme="minorHAnsi" w:eastAsia="Times New Roman" w:hAnsiTheme="minorHAnsi" w:cs="Arial"/>
                <w:b/>
                <w:bCs/>
                <w:sz w:val="16"/>
                <w:szCs w:val="16"/>
                <w:lang w:eastAsia="es-MX"/>
              </w:rPr>
            </w:pPr>
            <w:r w:rsidRPr="00731C06">
              <w:rPr>
                <w:rFonts w:asciiTheme="minorHAnsi" w:eastAsia="Times New Roman" w:hAnsiTheme="minorHAnsi" w:cs="Arial"/>
                <w:b/>
                <w:bCs/>
                <w:sz w:val="16"/>
                <w:szCs w:val="16"/>
                <w:lang w:eastAsia="es-MX"/>
              </w:rPr>
              <w:t>_________________________</w:t>
            </w:r>
          </w:p>
        </w:tc>
        <w:tc>
          <w:tcPr>
            <w:tcW w:w="110" w:type="dxa"/>
            <w:tcBorders>
              <w:top w:val="nil"/>
              <w:left w:val="nil"/>
              <w:bottom w:val="nil"/>
              <w:right w:val="nil"/>
            </w:tcBorders>
            <w:shd w:val="clear" w:color="auto" w:fill="auto"/>
            <w:noWrap/>
            <w:hideMark/>
          </w:tcPr>
          <w:p w14:paraId="2E90D1B7" w14:textId="77777777" w:rsidR="006C12E6" w:rsidRPr="00731C06" w:rsidRDefault="006C12E6" w:rsidP="006C12E6">
            <w:pPr>
              <w:spacing w:after="0" w:line="240" w:lineRule="auto"/>
              <w:rPr>
                <w:rFonts w:asciiTheme="minorHAnsi" w:eastAsia="Times New Roman" w:hAnsiTheme="minorHAnsi" w:cs="Arial"/>
                <w:b/>
                <w:bCs/>
                <w:sz w:val="16"/>
                <w:szCs w:val="16"/>
                <w:lang w:eastAsia="es-MX"/>
              </w:rPr>
            </w:pPr>
          </w:p>
        </w:tc>
      </w:tr>
      <w:tr w:rsidR="006C12E6" w:rsidRPr="00731C06" w14:paraId="20A40DCF" w14:textId="77777777" w:rsidTr="006C12E6">
        <w:trPr>
          <w:trHeight w:val="457"/>
        </w:trPr>
        <w:tc>
          <w:tcPr>
            <w:tcW w:w="7197" w:type="dxa"/>
            <w:tcBorders>
              <w:top w:val="nil"/>
              <w:left w:val="nil"/>
              <w:bottom w:val="nil"/>
              <w:right w:val="nil"/>
            </w:tcBorders>
            <w:shd w:val="clear" w:color="auto" w:fill="auto"/>
            <w:hideMark/>
          </w:tcPr>
          <w:p w14:paraId="5B538BA4" w14:textId="77777777" w:rsidR="006C12E6" w:rsidRPr="00731C06" w:rsidRDefault="006C12E6" w:rsidP="006C12E6">
            <w:pPr>
              <w:spacing w:after="0" w:line="240" w:lineRule="auto"/>
              <w:rPr>
                <w:rFonts w:asciiTheme="minorHAnsi" w:eastAsia="Times New Roman" w:hAnsiTheme="minorHAnsi" w:cs="Arial"/>
                <w:b/>
                <w:bCs/>
                <w:sz w:val="16"/>
                <w:szCs w:val="16"/>
                <w:lang w:eastAsia="es-MX"/>
              </w:rPr>
            </w:pPr>
            <w:r w:rsidRPr="00731C06">
              <w:rPr>
                <w:rFonts w:asciiTheme="minorHAnsi" w:eastAsia="Times New Roman" w:hAnsiTheme="minorHAnsi" w:cs="Arial"/>
                <w:b/>
                <w:bCs/>
                <w:sz w:val="16"/>
                <w:szCs w:val="16"/>
                <w:lang w:eastAsia="es-MX"/>
              </w:rPr>
              <w:t>DIRECTOR GENERAL</w:t>
            </w:r>
            <w:r w:rsidRPr="00731C06">
              <w:rPr>
                <w:rFonts w:asciiTheme="minorHAnsi" w:eastAsia="Times New Roman" w:hAnsiTheme="minorHAnsi" w:cs="Arial"/>
                <w:b/>
                <w:bCs/>
                <w:sz w:val="16"/>
                <w:szCs w:val="16"/>
                <w:lang w:eastAsia="es-MX"/>
              </w:rPr>
              <w:br/>
              <w:t>LIC. HECTOR EDGARDO QUILANTAN DE LA ROSA</w:t>
            </w:r>
          </w:p>
        </w:tc>
        <w:tc>
          <w:tcPr>
            <w:tcW w:w="2640" w:type="dxa"/>
            <w:gridSpan w:val="2"/>
            <w:tcBorders>
              <w:top w:val="nil"/>
              <w:left w:val="nil"/>
              <w:bottom w:val="nil"/>
              <w:right w:val="nil"/>
            </w:tcBorders>
            <w:shd w:val="clear" w:color="auto" w:fill="auto"/>
            <w:hideMark/>
          </w:tcPr>
          <w:p w14:paraId="10FE714E" w14:textId="77777777" w:rsidR="006C12E6" w:rsidRDefault="006C12E6" w:rsidP="006C12E6">
            <w:pPr>
              <w:spacing w:after="0" w:line="240" w:lineRule="auto"/>
              <w:rPr>
                <w:rFonts w:asciiTheme="minorHAnsi" w:eastAsia="Times New Roman" w:hAnsiTheme="minorHAnsi" w:cs="Arial"/>
                <w:b/>
                <w:bCs/>
                <w:sz w:val="16"/>
                <w:szCs w:val="16"/>
                <w:lang w:eastAsia="es-MX"/>
              </w:rPr>
            </w:pPr>
            <w:r w:rsidRPr="00731C06">
              <w:rPr>
                <w:rFonts w:asciiTheme="minorHAnsi" w:eastAsia="Times New Roman" w:hAnsiTheme="minorHAnsi" w:cs="Arial"/>
                <w:b/>
                <w:bCs/>
                <w:sz w:val="16"/>
                <w:szCs w:val="16"/>
                <w:lang w:eastAsia="es-MX"/>
              </w:rPr>
              <w:t>DIRECTORA ADMINISTRATIVA</w:t>
            </w:r>
            <w:r w:rsidRPr="00731C06">
              <w:rPr>
                <w:rFonts w:asciiTheme="minorHAnsi" w:eastAsia="Times New Roman" w:hAnsiTheme="minorHAnsi" w:cs="Arial"/>
                <w:b/>
                <w:bCs/>
                <w:sz w:val="16"/>
                <w:szCs w:val="16"/>
                <w:lang w:eastAsia="es-MX"/>
              </w:rPr>
              <w:br/>
            </w:r>
            <w:r w:rsidR="007947D7" w:rsidRPr="007947D7">
              <w:rPr>
                <w:rFonts w:asciiTheme="minorHAnsi" w:eastAsia="Times New Roman" w:hAnsiTheme="minorHAnsi" w:cs="Arial"/>
                <w:b/>
                <w:bCs/>
                <w:sz w:val="16"/>
                <w:szCs w:val="16"/>
                <w:lang w:eastAsia="es-MX"/>
              </w:rPr>
              <w:t>LIC. SARA AIDA ZAMORA MEZA</w:t>
            </w:r>
          </w:p>
          <w:p w14:paraId="2F210405" w14:textId="2D2125BB" w:rsidR="007947D7" w:rsidRPr="00731C06" w:rsidRDefault="007947D7" w:rsidP="006C12E6">
            <w:pPr>
              <w:spacing w:after="0" w:line="240" w:lineRule="auto"/>
              <w:rPr>
                <w:rFonts w:asciiTheme="minorHAnsi" w:eastAsia="Times New Roman" w:hAnsiTheme="minorHAnsi" w:cs="Arial"/>
                <w:b/>
                <w:bCs/>
                <w:sz w:val="16"/>
                <w:szCs w:val="16"/>
                <w:lang w:eastAsia="es-MX"/>
              </w:rPr>
            </w:pPr>
            <w:r w:rsidRPr="007947D7">
              <w:rPr>
                <w:rFonts w:asciiTheme="minorHAnsi" w:eastAsia="Times New Roman" w:hAnsiTheme="minorHAnsi" w:cs="Arial"/>
                <w:b/>
                <w:bCs/>
                <w:sz w:val="16"/>
                <w:szCs w:val="16"/>
                <w:lang w:eastAsia="es-MX"/>
              </w:rPr>
              <w:t>Encargada de Despacho de la Dirección Administrativa de la Academia Metropolitana de Seguridad Pública de León, Guanajuato (mediante oficio delegatorio AMSPLG/0683/2024)</w:t>
            </w:r>
            <w:bookmarkStart w:id="16" w:name="_GoBack"/>
            <w:bookmarkEnd w:id="16"/>
          </w:p>
        </w:tc>
      </w:tr>
    </w:tbl>
    <w:p w14:paraId="3FA04C5A" w14:textId="77777777" w:rsidR="006C12E6" w:rsidRPr="00731C06" w:rsidRDefault="006C12E6" w:rsidP="00CB41C4">
      <w:pPr>
        <w:tabs>
          <w:tab w:val="left" w:leader="underscore" w:pos="9639"/>
        </w:tabs>
        <w:spacing w:after="0" w:line="240" w:lineRule="auto"/>
        <w:jc w:val="both"/>
        <w:rPr>
          <w:rFonts w:asciiTheme="minorHAnsi" w:hAnsiTheme="minorHAnsi" w:cs="Calibri"/>
        </w:rPr>
      </w:pPr>
    </w:p>
    <w:sectPr w:rsidR="006C12E6" w:rsidRPr="00731C06" w:rsidSect="00B771BF">
      <w:headerReference w:type="default" r:id="rId20"/>
      <w:footerReference w:type="default" r:id="rId21"/>
      <w:pgSz w:w="12240" w:h="15840" w:code="1"/>
      <w:pgMar w:top="1418" w:right="1134" w:bottom="1134"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C98220" w14:textId="77777777" w:rsidR="00ED1158" w:rsidRDefault="00ED1158" w:rsidP="00E00323">
      <w:pPr>
        <w:spacing w:after="0" w:line="240" w:lineRule="auto"/>
      </w:pPr>
      <w:r>
        <w:separator/>
      </w:r>
    </w:p>
  </w:endnote>
  <w:endnote w:type="continuationSeparator" w:id="0">
    <w:p w14:paraId="6950DFC2" w14:textId="77777777" w:rsidR="00ED1158" w:rsidRDefault="00ED1158" w:rsidP="00E00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4267310"/>
      <w:docPartObj>
        <w:docPartGallery w:val="Page Numbers (Bottom of Page)"/>
        <w:docPartUnique/>
      </w:docPartObj>
    </w:sdtPr>
    <w:sdtEndPr/>
    <w:sdtContent>
      <w:p w14:paraId="45A1378E" w14:textId="3208FEF5" w:rsidR="0012405A" w:rsidRDefault="0012405A">
        <w:pPr>
          <w:pStyle w:val="Piedepgina"/>
          <w:jc w:val="right"/>
        </w:pPr>
        <w:r>
          <w:fldChar w:fldCharType="begin"/>
        </w:r>
        <w:r>
          <w:instrText>PAGE   \* MERGEFORMAT</w:instrText>
        </w:r>
        <w:r>
          <w:fldChar w:fldCharType="separate"/>
        </w:r>
        <w:r w:rsidR="007947D7" w:rsidRPr="007947D7">
          <w:rPr>
            <w:noProof/>
            <w:lang w:val="es-ES"/>
          </w:rPr>
          <w:t>12</w:t>
        </w:r>
        <w:r>
          <w:fldChar w:fldCharType="end"/>
        </w:r>
      </w:p>
    </w:sdtContent>
  </w:sdt>
  <w:p w14:paraId="37983FFD" w14:textId="77777777" w:rsidR="0012405A" w:rsidRDefault="0012405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036F67" w14:textId="77777777" w:rsidR="00ED1158" w:rsidRDefault="00ED1158" w:rsidP="00E00323">
      <w:pPr>
        <w:spacing w:after="0" w:line="240" w:lineRule="auto"/>
      </w:pPr>
      <w:r>
        <w:separator/>
      </w:r>
    </w:p>
  </w:footnote>
  <w:footnote w:type="continuationSeparator" w:id="0">
    <w:p w14:paraId="7DED2EC8" w14:textId="77777777" w:rsidR="00ED1158" w:rsidRDefault="00ED1158" w:rsidP="00E003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7965B" w14:textId="2DC2181C" w:rsidR="006C12E6" w:rsidRDefault="00B771BF" w:rsidP="006C12E6">
    <w:pPr>
      <w:pStyle w:val="Encabezado"/>
      <w:spacing w:after="0" w:line="240" w:lineRule="auto"/>
      <w:jc w:val="center"/>
    </w:pPr>
    <w:r>
      <w:rPr>
        <w:noProof/>
        <w:lang w:eastAsia="es-MX"/>
      </w:rPr>
      <w:drawing>
        <wp:anchor distT="0" distB="0" distL="114300" distR="114300" simplePos="0" relativeHeight="251658240" behindDoc="1" locked="0" layoutInCell="1" allowOverlap="1" wp14:anchorId="22D87D4A" wp14:editId="3BAE53A0">
          <wp:simplePos x="0" y="0"/>
          <wp:positionH relativeFrom="column">
            <wp:posOffset>-300355</wp:posOffset>
          </wp:positionH>
          <wp:positionV relativeFrom="paragraph">
            <wp:posOffset>-145415</wp:posOffset>
          </wp:positionV>
          <wp:extent cx="714375" cy="695325"/>
          <wp:effectExtent l="0" t="0" r="9525" b="9525"/>
          <wp:wrapNone/>
          <wp:docPr id="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14375" cy="695325"/>
                  </a:xfrm>
                  <a:prstGeom prst="rect">
                    <a:avLst/>
                  </a:prstGeom>
                </pic:spPr>
              </pic:pic>
            </a:graphicData>
          </a:graphic>
          <wp14:sizeRelH relativeFrom="page">
            <wp14:pctWidth>0</wp14:pctWidth>
          </wp14:sizeRelH>
          <wp14:sizeRelV relativeFrom="page">
            <wp14:pctHeight>0</wp14:pctHeight>
          </wp14:sizeRelV>
        </wp:anchor>
      </w:drawing>
    </w:r>
    <w:r w:rsidR="006C12E6" w:rsidRPr="004C6CC5">
      <w:t>ACADEMIA METROPOLITANA DE SEGURIDAD PÚBLICA DE LEÓN, GUANAJUATO</w:t>
    </w:r>
  </w:p>
  <w:p w14:paraId="55701905" w14:textId="29CAF51F" w:rsidR="006C12E6" w:rsidRDefault="006C12E6" w:rsidP="006C12E6">
    <w:pPr>
      <w:pStyle w:val="Encabezado"/>
      <w:spacing w:after="0" w:line="240" w:lineRule="auto"/>
      <w:jc w:val="center"/>
    </w:pPr>
    <w:r w:rsidRPr="00A4610E">
      <w:t>CORRESPONDI</w:t>
    </w:r>
    <w:r w:rsidR="00B771BF">
      <w:t>E</w:t>
    </w:r>
    <w:r w:rsidRPr="00A4610E">
      <w:t xml:space="preserve">NTES AL </w:t>
    </w:r>
    <w:r>
      <w:t>3</w:t>
    </w:r>
    <w:r w:rsidR="000C2258">
      <w:t>0 DE JUNIO</w:t>
    </w:r>
    <w:r>
      <w:t xml:space="preserve"> DE 2024</w:t>
    </w:r>
  </w:p>
  <w:p w14:paraId="651A4C4F" w14:textId="0A404B5B" w:rsidR="00A4610E" w:rsidRPr="006C12E6" w:rsidRDefault="00A4610E" w:rsidP="006C12E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00156"/>
    <w:multiLevelType w:val="hybridMultilevel"/>
    <w:tmpl w:val="D914637E"/>
    <w:lvl w:ilvl="0" w:tplc="65B2D86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105F4263"/>
    <w:multiLevelType w:val="hybridMultilevel"/>
    <w:tmpl w:val="B0D0BA12"/>
    <w:lvl w:ilvl="0" w:tplc="D3EE0FF2">
      <w:start w:val="7"/>
      <w:numFmt w:val="lowerLetter"/>
      <w:lvlText w:val="%1)"/>
      <w:lvlJc w:val="left"/>
      <w:pPr>
        <w:ind w:left="785" w:hanging="360"/>
      </w:pPr>
      <w:rPr>
        <w:rFonts w:hint="default"/>
        <w:b/>
        <w:bCs/>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nsid w:val="14053B82"/>
    <w:multiLevelType w:val="hybridMultilevel"/>
    <w:tmpl w:val="23B2BB96"/>
    <w:lvl w:ilvl="0" w:tplc="D18226F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8B464F8"/>
    <w:multiLevelType w:val="hybridMultilevel"/>
    <w:tmpl w:val="1624A762"/>
    <w:lvl w:ilvl="0" w:tplc="ADD6841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4836536"/>
    <w:multiLevelType w:val="hybridMultilevel"/>
    <w:tmpl w:val="92847CE4"/>
    <w:lvl w:ilvl="0" w:tplc="3208DA6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380B4352"/>
    <w:multiLevelType w:val="hybridMultilevel"/>
    <w:tmpl w:val="ABC0667C"/>
    <w:lvl w:ilvl="0" w:tplc="3A30A6A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3EA62987"/>
    <w:multiLevelType w:val="hybridMultilevel"/>
    <w:tmpl w:val="141E133A"/>
    <w:lvl w:ilvl="0" w:tplc="70FE61C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56251838"/>
    <w:multiLevelType w:val="hybridMultilevel"/>
    <w:tmpl w:val="E76A6818"/>
    <w:lvl w:ilvl="0" w:tplc="BE38EAB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572A246B"/>
    <w:multiLevelType w:val="hybridMultilevel"/>
    <w:tmpl w:val="A1362B1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58E5165B"/>
    <w:multiLevelType w:val="hybridMultilevel"/>
    <w:tmpl w:val="54E2D7F6"/>
    <w:lvl w:ilvl="0" w:tplc="DB1A2E9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609A4CC4"/>
    <w:multiLevelType w:val="hybridMultilevel"/>
    <w:tmpl w:val="46C0B71E"/>
    <w:lvl w:ilvl="0" w:tplc="905A682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67492A98"/>
    <w:multiLevelType w:val="hybridMultilevel"/>
    <w:tmpl w:val="A1966CE8"/>
    <w:lvl w:ilvl="0" w:tplc="72660E3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716B5379"/>
    <w:multiLevelType w:val="hybridMultilevel"/>
    <w:tmpl w:val="913C4688"/>
    <w:lvl w:ilvl="0" w:tplc="8D9E78E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9"/>
  </w:num>
  <w:num w:numId="3">
    <w:abstractNumId w:val="4"/>
  </w:num>
  <w:num w:numId="4">
    <w:abstractNumId w:val="11"/>
  </w:num>
  <w:num w:numId="5">
    <w:abstractNumId w:val="0"/>
  </w:num>
  <w:num w:numId="6">
    <w:abstractNumId w:val="10"/>
  </w:num>
  <w:num w:numId="7">
    <w:abstractNumId w:val="3"/>
  </w:num>
  <w:num w:numId="8">
    <w:abstractNumId w:val="2"/>
  </w:num>
  <w:num w:numId="9">
    <w:abstractNumId w:val="5"/>
  </w:num>
  <w:num w:numId="10">
    <w:abstractNumId w:val="6"/>
  </w:num>
  <w:num w:numId="11">
    <w:abstractNumId w:val="12"/>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E76"/>
    <w:rsid w:val="000310EF"/>
    <w:rsid w:val="00040D4F"/>
    <w:rsid w:val="00084EAE"/>
    <w:rsid w:val="00091CE6"/>
    <w:rsid w:val="000B7810"/>
    <w:rsid w:val="000C2258"/>
    <w:rsid w:val="000C3365"/>
    <w:rsid w:val="00106EE9"/>
    <w:rsid w:val="0012405A"/>
    <w:rsid w:val="0012493A"/>
    <w:rsid w:val="00154BA3"/>
    <w:rsid w:val="001973A2"/>
    <w:rsid w:val="001C34BC"/>
    <w:rsid w:val="001C710C"/>
    <w:rsid w:val="001C75F2"/>
    <w:rsid w:val="001D2063"/>
    <w:rsid w:val="001D43E9"/>
    <w:rsid w:val="00231FBE"/>
    <w:rsid w:val="00232175"/>
    <w:rsid w:val="0024740E"/>
    <w:rsid w:val="002722DD"/>
    <w:rsid w:val="00295B72"/>
    <w:rsid w:val="003453CA"/>
    <w:rsid w:val="00396D53"/>
    <w:rsid w:val="003E6C64"/>
    <w:rsid w:val="0043078C"/>
    <w:rsid w:val="00435A87"/>
    <w:rsid w:val="004A1077"/>
    <w:rsid w:val="004A58C8"/>
    <w:rsid w:val="004F234D"/>
    <w:rsid w:val="004F58F7"/>
    <w:rsid w:val="004F6FAC"/>
    <w:rsid w:val="005053EE"/>
    <w:rsid w:val="00516100"/>
    <w:rsid w:val="00516A8F"/>
    <w:rsid w:val="00540261"/>
    <w:rsid w:val="0054701E"/>
    <w:rsid w:val="005B5531"/>
    <w:rsid w:val="005D3E43"/>
    <w:rsid w:val="005D586F"/>
    <w:rsid w:val="005E231E"/>
    <w:rsid w:val="005F2900"/>
    <w:rsid w:val="005F51CC"/>
    <w:rsid w:val="00632CA2"/>
    <w:rsid w:val="0064059E"/>
    <w:rsid w:val="00657009"/>
    <w:rsid w:val="00681C79"/>
    <w:rsid w:val="006B1ADF"/>
    <w:rsid w:val="006C12E6"/>
    <w:rsid w:val="006F0687"/>
    <w:rsid w:val="006F77A8"/>
    <w:rsid w:val="00731C06"/>
    <w:rsid w:val="007373C4"/>
    <w:rsid w:val="007610BC"/>
    <w:rsid w:val="00766ED5"/>
    <w:rsid w:val="007714AB"/>
    <w:rsid w:val="007947D7"/>
    <w:rsid w:val="007D1E76"/>
    <w:rsid w:val="007D4484"/>
    <w:rsid w:val="007E38A2"/>
    <w:rsid w:val="007F699D"/>
    <w:rsid w:val="00806269"/>
    <w:rsid w:val="0086420E"/>
    <w:rsid w:val="0086459F"/>
    <w:rsid w:val="008C3BB8"/>
    <w:rsid w:val="008C64F0"/>
    <w:rsid w:val="008E076C"/>
    <w:rsid w:val="009156F8"/>
    <w:rsid w:val="0092765C"/>
    <w:rsid w:val="00967DDA"/>
    <w:rsid w:val="009736CB"/>
    <w:rsid w:val="00A4610E"/>
    <w:rsid w:val="00A6346D"/>
    <w:rsid w:val="00A730E0"/>
    <w:rsid w:val="00AA2768"/>
    <w:rsid w:val="00AA41E5"/>
    <w:rsid w:val="00AB722B"/>
    <w:rsid w:val="00AE1F6A"/>
    <w:rsid w:val="00AE281A"/>
    <w:rsid w:val="00AF4375"/>
    <w:rsid w:val="00B073DE"/>
    <w:rsid w:val="00B145A7"/>
    <w:rsid w:val="00B6368B"/>
    <w:rsid w:val="00B771BF"/>
    <w:rsid w:val="00BA53FE"/>
    <w:rsid w:val="00BE02EB"/>
    <w:rsid w:val="00BF48A6"/>
    <w:rsid w:val="00C4250B"/>
    <w:rsid w:val="00C4625D"/>
    <w:rsid w:val="00C54C12"/>
    <w:rsid w:val="00C93C67"/>
    <w:rsid w:val="00C97E1E"/>
    <w:rsid w:val="00CA3C46"/>
    <w:rsid w:val="00CB41C4"/>
    <w:rsid w:val="00CF1316"/>
    <w:rsid w:val="00D13C44"/>
    <w:rsid w:val="00D32331"/>
    <w:rsid w:val="00D40FC2"/>
    <w:rsid w:val="00D5018E"/>
    <w:rsid w:val="00D546B2"/>
    <w:rsid w:val="00D975B1"/>
    <w:rsid w:val="00DD018C"/>
    <w:rsid w:val="00E00323"/>
    <w:rsid w:val="00E11758"/>
    <w:rsid w:val="00E74967"/>
    <w:rsid w:val="00E7559F"/>
    <w:rsid w:val="00E85520"/>
    <w:rsid w:val="00E9132F"/>
    <w:rsid w:val="00EA37F5"/>
    <w:rsid w:val="00EA7915"/>
    <w:rsid w:val="00ED1158"/>
    <w:rsid w:val="00ED7AA0"/>
    <w:rsid w:val="00F067C8"/>
    <w:rsid w:val="00F43AC5"/>
    <w:rsid w:val="00F46719"/>
    <w:rsid w:val="00F54F6F"/>
    <w:rsid w:val="00F6102D"/>
    <w:rsid w:val="00F65A92"/>
    <w:rsid w:val="00F6759B"/>
    <w:rsid w:val="00FA432F"/>
    <w:rsid w:val="00FC1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47D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1E76"/>
    <w:pPr>
      <w:spacing w:after="200" w:line="276" w:lineRule="auto"/>
    </w:pPr>
    <w:rPr>
      <w:sz w:val="22"/>
      <w:szCs w:val="22"/>
      <w:lang w:eastAsia="en-US"/>
    </w:rPr>
  </w:style>
  <w:style w:type="paragraph" w:styleId="Ttulo1">
    <w:name w:val="heading 1"/>
    <w:basedOn w:val="Normal"/>
    <w:next w:val="Normal"/>
    <w:link w:val="Ttulo1Car"/>
    <w:uiPriority w:val="9"/>
    <w:qFormat/>
    <w:rsid w:val="00F467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C33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1E76"/>
    <w:pPr>
      <w:ind w:left="720"/>
      <w:contextualSpacing/>
    </w:pPr>
  </w:style>
  <w:style w:type="character" w:styleId="Hipervnculo">
    <w:name w:val="Hyperlink"/>
    <w:uiPriority w:val="99"/>
    <w:unhideWhenUsed/>
    <w:rsid w:val="007D1E76"/>
    <w:rPr>
      <w:color w:val="0000FF"/>
      <w:u w:val="single"/>
    </w:rPr>
  </w:style>
  <w:style w:type="paragraph" w:styleId="Encabezado">
    <w:name w:val="header"/>
    <w:basedOn w:val="Normal"/>
    <w:link w:val="EncabezadoCar"/>
    <w:uiPriority w:val="99"/>
    <w:unhideWhenUsed/>
    <w:rsid w:val="00E00323"/>
    <w:pPr>
      <w:tabs>
        <w:tab w:val="center" w:pos="4419"/>
        <w:tab w:val="right" w:pos="8838"/>
      </w:tabs>
    </w:pPr>
  </w:style>
  <w:style w:type="character" w:customStyle="1" w:styleId="EncabezadoCar">
    <w:name w:val="Encabezado Car"/>
    <w:link w:val="Encabezado"/>
    <w:uiPriority w:val="99"/>
    <w:rsid w:val="00E00323"/>
    <w:rPr>
      <w:sz w:val="22"/>
      <w:szCs w:val="22"/>
      <w:lang w:eastAsia="en-US"/>
    </w:rPr>
  </w:style>
  <w:style w:type="paragraph" w:styleId="Piedepgina">
    <w:name w:val="footer"/>
    <w:basedOn w:val="Normal"/>
    <w:link w:val="PiedepginaCar"/>
    <w:uiPriority w:val="99"/>
    <w:unhideWhenUsed/>
    <w:rsid w:val="00E00323"/>
    <w:pPr>
      <w:tabs>
        <w:tab w:val="center" w:pos="4419"/>
        <w:tab w:val="right" w:pos="8838"/>
      </w:tabs>
    </w:pPr>
  </w:style>
  <w:style w:type="character" w:customStyle="1" w:styleId="PiedepginaCar">
    <w:name w:val="Pie de página Car"/>
    <w:link w:val="Piedepgina"/>
    <w:uiPriority w:val="99"/>
    <w:rsid w:val="00E00323"/>
    <w:rPr>
      <w:sz w:val="22"/>
      <w:szCs w:val="22"/>
      <w:lang w:eastAsia="en-US"/>
    </w:rPr>
  </w:style>
  <w:style w:type="paragraph" w:styleId="Textodeglobo">
    <w:name w:val="Balloon Text"/>
    <w:basedOn w:val="Normal"/>
    <w:link w:val="TextodegloboCar"/>
    <w:uiPriority w:val="99"/>
    <w:semiHidden/>
    <w:unhideWhenUsed/>
    <w:rsid w:val="00E00323"/>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00323"/>
    <w:rPr>
      <w:rFonts w:ascii="Tahoma" w:hAnsi="Tahoma" w:cs="Tahoma"/>
      <w:sz w:val="16"/>
      <w:szCs w:val="16"/>
      <w:lang w:eastAsia="en-US"/>
    </w:rPr>
  </w:style>
  <w:style w:type="paragraph" w:styleId="NormalWeb">
    <w:name w:val="Normal (Web)"/>
    <w:basedOn w:val="Normal"/>
    <w:uiPriority w:val="99"/>
    <w:unhideWhenUsed/>
    <w:rsid w:val="00E00323"/>
    <w:pPr>
      <w:spacing w:before="100" w:beforeAutospacing="1" w:after="100" w:afterAutospacing="1" w:line="240" w:lineRule="auto"/>
    </w:pPr>
    <w:rPr>
      <w:rFonts w:ascii="Times New Roman" w:eastAsia="Times New Roman" w:hAnsi="Times New Roman"/>
      <w:sz w:val="24"/>
      <w:szCs w:val="24"/>
      <w:lang w:eastAsia="es-MX"/>
    </w:rPr>
  </w:style>
  <w:style w:type="paragraph" w:styleId="Ttulo">
    <w:name w:val="Title"/>
    <w:basedOn w:val="Normal"/>
    <w:next w:val="Normal"/>
    <w:link w:val="TtuloCar"/>
    <w:uiPriority w:val="10"/>
    <w:qFormat/>
    <w:rsid w:val="00AA41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A41E5"/>
    <w:rPr>
      <w:rFonts w:asciiTheme="majorHAnsi" w:eastAsiaTheme="majorEastAsia" w:hAnsiTheme="majorHAnsi" w:cstheme="majorBidi"/>
      <w:spacing w:val="-10"/>
      <w:kern w:val="28"/>
      <w:sz w:val="56"/>
      <w:szCs w:val="56"/>
      <w:lang w:eastAsia="en-US"/>
    </w:rPr>
  </w:style>
  <w:style w:type="table" w:styleId="Tablaconcuadrcula">
    <w:name w:val="Table Grid"/>
    <w:basedOn w:val="Tablanormal"/>
    <w:uiPriority w:val="59"/>
    <w:rsid w:val="003453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C3365"/>
    <w:rPr>
      <w:rFonts w:asciiTheme="majorHAnsi" w:eastAsiaTheme="majorEastAsia" w:hAnsiTheme="majorHAnsi" w:cstheme="majorBidi"/>
      <w:color w:val="2E74B5" w:themeColor="accent1" w:themeShade="BF"/>
      <w:sz w:val="26"/>
      <w:szCs w:val="26"/>
      <w:lang w:eastAsia="en-US"/>
    </w:rPr>
  </w:style>
  <w:style w:type="character" w:customStyle="1" w:styleId="Ttulo1Car">
    <w:name w:val="Título 1 Car"/>
    <w:basedOn w:val="Fuentedeprrafopredeter"/>
    <w:link w:val="Ttulo1"/>
    <w:uiPriority w:val="9"/>
    <w:rsid w:val="00F46719"/>
    <w:rPr>
      <w:rFonts w:asciiTheme="majorHAnsi" w:eastAsiaTheme="majorEastAsia" w:hAnsiTheme="majorHAnsi" w:cstheme="majorBidi"/>
      <w:color w:val="2E74B5" w:themeColor="accent1" w:themeShade="BF"/>
      <w:sz w:val="32"/>
      <w:szCs w:val="32"/>
      <w:lang w:eastAsia="en-US"/>
    </w:rPr>
  </w:style>
  <w:style w:type="paragraph" w:styleId="TtulodeTDC">
    <w:name w:val="TOC Heading"/>
    <w:basedOn w:val="Ttulo1"/>
    <w:next w:val="Normal"/>
    <w:uiPriority w:val="39"/>
    <w:unhideWhenUsed/>
    <w:qFormat/>
    <w:rsid w:val="00F46719"/>
    <w:pPr>
      <w:spacing w:line="259" w:lineRule="auto"/>
      <w:outlineLvl w:val="9"/>
    </w:pPr>
    <w:rPr>
      <w:lang w:eastAsia="es-MX"/>
    </w:rPr>
  </w:style>
  <w:style w:type="paragraph" w:styleId="TDC2">
    <w:name w:val="toc 2"/>
    <w:basedOn w:val="Normal"/>
    <w:next w:val="Normal"/>
    <w:autoRedefine/>
    <w:uiPriority w:val="39"/>
    <w:unhideWhenUsed/>
    <w:rsid w:val="00F46719"/>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1E76"/>
    <w:pPr>
      <w:spacing w:after="200" w:line="276" w:lineRule="auto"/>
    </w:pPr>
    <w:rPr>
      <w:sz w:val="22"/>
      <w:szCs w:val="22"/>
      <w:lang w:eastAsia="en-US"/>
    </w:rPr>
  </w:style>
  <w:style w:type="paragraph" w:styleId="Ttulo1">
    <w:name w:val="heading 1"/>
    <w:basedOn w:val="Normal"/>
    <w:next w:val="Normal"/>
    <w:link w:val="Ttulo1Car"/>
    <w:uiPriority w:val="9"/>
    <w:qFormat/>
    <w:rsid w:val="00F467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C33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1E76"/>
    <w:pPr>
      <w:ind w:left="720"/>
      <w:contextualSpacing/>
    </w:pPr>
  </w:style>
  <w:style w:type="character" w:styleId="Hipervnculo">
    <w:name w:val="Hyperlink"/>
    <w:uiPriority w:val="99"/>
    <w:unhideWhenUsed/>
    <w:rsid w:val="007D1E76"/>
    <w:rPr>
      <w:color w:val="0000FF"/>
      <w:u w:val="single"/>
    </w:rPr>
  </w:style>
  <w:style w:type="paragraph" w:styleId="Encabezado">
    <w:name w:val="header"/>
    <w:basedOn w:val="Normal"/>
    <w:link w:val="EncabezadoCar"/>
    <w:uiPriority w:val="99"/>
    <w:unhideWhenUsed/>
    <w:rsid w:val="00E00323"/>
    <w:pPr>
      <w:tabs>
        <w:tab w:val="center" w:pos="4419"/>
        <w:tab w:val="right" w:pos="8838"/>
      </w:tabs>
    </w:pPr>
  </w:style>
  <w:style w:type="character" w:customStyle="1" w:styleId="EncabezadoCar">
    <w:name w:val="Encabezado Car"/>
    <w:link w:val="Encabezado"/>
    <w:uiPriority w:val="99"/>
    <w:rsid w:val="00E00323"/>
    <w:rPr>
      <w:sz w:val="22"/>
      <w:szCs w:val="22"/>
      <w:lang w:eastAsia="en-US"/>
    </w:rPr>
  </w:style>
  <w:style w:type="paragraph" w:styleId="Piedepgina">
    <w:name w:val="footer"/>
    <w:basedOn w:val="Normal"/>
    <w:link w:val="PiedepginaCar"/>
    <w:uiPriority w:val="99"/>
    <w:unhideWhenUsed/>
    <w:rsid w:val="00E00323"/>
    <w:pPr>
      <w:tabs>
        <w:tab w:val="center" w:pos="4419"/>
        <w:tab w:val="right" w:pos="8838"/>
      </w:tabs>
    </w:pPr>
  </w:style>
  <w:style w:type="character" w:customStyle="1" w:styleId="PiedepginaCar">
    <w:name w:val="Pie de página Car"/>
    <w:link w:val="Piedepgina"/>
    <w:uiPriority w:val="99"/>
    <w:rsid w:val="00E00323"/>
    <w:rPr>
      <w:sz w:val="22"/>
      <w:szCs w:val="22"/>
      <w:lang w:eastAsia="en-US"/>
    </w:rPr>
  </w:style>
  <w:style w:type="paragraph" w:styleId="Textodeglobo">
    <w:name w:val="Balloon Text"/>
    <w:basedOn w:val="Normal"/>
    <w:link w:val="TextodegloboCar"/>
    <w:uiPriority w:val="99"/>
    <w:semiHidden/>
    <w:unhideWhenUsed/>
    <w:rsid w:val="00E00323"/>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00323"/>
    <w:rPr>
      <w:rFonts w:ascii="Tahoma" w:hAnsi="Tahoma" w:cs="Tahoma"/>
      <w:sz w:val="16"/>
      <w:szCs w:val="16"/>
      <w:lang w:eastAsia="en-US"/>
    </w:rPr>
  </w:style>
  <w:style w:type="paragraph" w:styleId="NormalWeb">
    <w:name w:val="Normal (Web)"/>
    <w:basedOn w:val="Normal"/>
    <w:uiPriority w:val="99"/>
    <w:unhideWhenUsed/>
    <w:rsid w:val="00E00323"/>
    <w:pPr>
      <w:spacing w:before="100" w:beforeAutospacing="1" w:after="100" w:afterAutospacing="1" w:line="240" w:lineRule="auto"/>
    </w:pPr>
    <w:rPr>
      <w:rFonts w:ascii="Times New Roman" w:eastAsia="Times New Roman" w:hAnsi="Times New Roman"/>
      <w:sz w:val="24"/>
      <w:szCs w:val="24"/>
      <w:lang w:eastAsia="es-MX"/>
    </w:rPr>
  </w:style>
  <w:style w:type="paragraph" w:styleId="Ttulo">
    <w:name w:val="Title"/>
    <w:basedOn w:val="Normal"/>
    <w:next w:val="Normal"/>
    <w:link w:val="TtuloCar"/>
    <w:uiPriority w:val="10"/>
    <w:qFormat/>
    <w:rsid w:val="00AA41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A41E5"/>
    <w:rPr>
      <w:rFonts w:asciiTheme="majorHAnsi" w:eastAsiaTheme="majorEastAsia" w:hAnsiTheme="majorHAnsi" w:cstheme="majorBidi"/>
      <w:spacing w:val="-10"/>
      <w:kern w:val="28"/>
      <w:sz w:val="56"/>
      <w:szCs w:val="56"/>
      <w:lang w:eastAsia="en-US"/>
    </w:rPr>
  </w:style>
  <w:style w:type="table" w:styleId="Tablaconcuadrcula">
    <w:name w:val="Table Grid"/>
    <w:basedOn w:val="Tablanormal"/>
    <w:uiPriority w:val="59"/>
    <w:rsid w:val="003453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C3365"/>
    <w:rPr>
      <w:rFonts w:asciiTheme="majorHAnsi" w:eastAsiaTheme="majorEastAsia" w:hAnsiTheme="majorHAnsi" w:cstheme="majorBidi"/>
      <w:color w:val="2E74B5" w:themeColor="accent1" w:themeShade="BF"/>
      <w:sz w:val="26"/>
      <w:szCs w:val="26"/>
      <w:lang w:eastAsia="en-US"/>
    </w:rPr>
  </w:style>
  <w:style w:type="character" w:customStyle="1" w:styleId="Ttulo1Car">
    <w:name w:val="Título 1 Car"/>
    <w:basedOn w:val="Fuentedeprrafopredeter"/>
    <w:link w:val="Ttulo1"/>
    <w:uiPriority w:val="9"/>
    <w:rsid w:val="00F46719"/>
    <w:rPr>
      <w:rFonts w:asciiTheme="majorHAnsi" w:eastAsiaTheme="majorEastAsia" w:hAnsiTheme="majorHAnsi" w:cstheme="majorBidi"/>
      <w:color w:val="2E74B5" w:themeColor="accent1" w:themeShade="BF"/>
      <w:sz w:val="32"/>
      <w:szCs w:val="32"/>
      <w:lang w:eastAsia="en-US"/>
    </w:rPr>
  </w:style>
  <w:style w:type="paragraph" w:styleId="TtulodeTDC">
    <w:name w:val="TOC Heading"/>
    <w:basedOn w:val="Ttulo1"/>
    <w:next w:val="Normal"/>
    <w:uiPriority w:val="39"/>
    <w:unhideWhenUsed/>
    <w:qFormat/>
    <w:rsid w:val="00F46719"/>
    <w:pPr>
      <w:spacing w:line="259" w:lineRule="auto"/>
      <w:outlineLvl w:val="9"/>
    </w:pPr>
    <w:rPr>
      <w:lang w:eastAsia="es-MX"/>
    </w:rPr>
  </w:style>
  <w:style w:type="paragraph" w:styleId="TDC2">
    <w:name w:val="toc 2"/>
    <w:basedOn w:val="Normal"/>
    <w:next w:val="Normal"/>
    <w:autoRedefine/>
    <w:uiPriority w:val="39"/>
    <w:unhideWhenUsed/>
    <w:rsid w:val="00F4671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5528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footer" Target="footer1.xml"/><Relationship Id="rId7" Type="http://schemas.microsoft.com/office/2007/relationships/stylesWithEffects" Target="stylesWithEffects.xml"/><Relationship Id="rId12" Type="http://schemas.openxmlformats.org/officeDocument/2006/relationships/hyperlink" Target="file:///C:/Users/acorona/lquiroz/AppData/Local/Microsoft/Windows/Temporary%20Internet%20Files/Content.Outlook/HBGSO9P3/MODELO%20CTA%202013.pptx" TargetMode="External"/><Relationship Id="rId17"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F4D3CCCD0CFC8E48A23B0770796809E1" ma:contentTypeVersion="11" ma:contentTypeDescription="Crear nuevo documento." ma:contentTypeScope="" ma:versionID="bf3a443534d628b30ad7b72686e46350">
  <xsd:schema xmlns:xsd="http://www.w3.org/2001/XMLSchema" xmlns:xs="http://www.w3.org/2001/XMLSchema" xmlns:p="http://schemas.microsoft.com/office/2006/metadata/properties" xmlns:ns2="0c865bf4-0f22-4e4d-b041-7b0c1657e5a8" xmlns:ns3="6aa8a68a-ab09-4ac8-a697-fdce915bc567" targetNamespace="http://schemas.microsoft.com/office/2006/metadata/properties" ma:root="true" ma:fieldsID="cb5505446f330f50c51622ed5cc53a4b" ns2:_="" ns3:_="">
    <xsd:import namespace="0c865bf4-0f22-4e4d-b041-7b0c1657e5a8"/>
    <xsd:import namespace="6aa8a68a-ab09-4ac8-a697-fdce915bc56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MediaServiceDateTaken" minOccurs="0"/>
                <xsd:element ref="ns2:MediaServiceObjectDetectorVersions" minOccurs="0"/>
                <xsd:element ref="ns2:MediaServiceGenerationTime" minOccurs="0"/>
                <xsd:element ref="ns2:MediaServiceEventHashCode" minOccurs="0"/>
                <xsd:element ref="ns3:SharedWithUsers" minOccurs="0"/>
                <xsd:element ref="ns3:SharedWithDetails" minOccurs="0"/>
                <xsd:element ref="ns2:_x00bf_Formatomodificado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865bf4-0f22-4e4d-b041-7b0c1657e5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_x00bf_Formatomodificado_x003f_" ma:index="18" nillable="true" ma:displayName="¿Formato modificado?" ma:default="1" ma:format="Dropdown" ma:internalName="_x00bf_Formatomodificado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aa8a68a-ab09-4ac8-a697-fdce915bc567"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x00bf_Formatomodificado_x003f_ xmlns="0c865bf4-0f22-4e4d-b041-7b0c1657e5a8">true</_x00bf_Formatomodificado_x003f_>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2599E-C54E-40EB-B3BD-41B2F70A96F3}">
  <ds:schemaRefs>
    <ds:schemaRef ds:uri="http://schemas.microsoft.com/sharepoint/v3/contenttype/forms"/>
  </ds:schemaRefs>
</ds:datastoreItem>
</file>

<file path=customXml/itemProps2.xml><?xml version="1.0" encoding="utf-8"?>
<ds:datastoreItem xmlns:ds="http://schemas.openxmlformats.org/officeDocument/2006/customXml" ds:itemID="{555B9485-7FE9-43F0-809A-30EC26A19B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865bf4-0f22-4e4d-b041-7b0c1657e5a8"/>
    <ds:schemaRef ds:uri="6aa8a68a-ab09-4ac8-a697-fdce915bc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CBD850-722C-4B0A-8EDE-7CABA60C709E}">
  <ds:schemaRefs>
    <ds:schemaRef ds:uri="http://schemas.microsoft.com/office/2006/metadata/properties"/>
    <ds:schemaRef ds:uri="http://schemas.microsoft.com/office/infopath/2007/PartnerControls"/>
    <ds:schemaRef ds:uri="0c865bf4-0f22-4e4d-b041-7b0c1657e5a8"/>
  </ds:schemaRefs>
</ds:datastoreItem>
</file>

<file path=customXml/itemProps4.xml><?xml version="1.0" encoding="utf-8"?>
<ds:datastoreItem xmlns:ds="http://schemas.openxmlformats.org/officeDocument/2006/customXml" ds:itemID="{8B32E1A2-A662-48DD-967D-28546095E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12</Pages>
  <Words>2800</Words>
  <Characters>15405</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18169</CharactersWithSpaces>
  <SharedDoc>false</SharedDoc>
  <HLinks>
    <vt:vector size="6" baseType="variant">
      <vt:variant>
        <vt:i4>6357108</vt:i4>
      </vt:variant>
      <vt:variant>
        <vt:i4>0</vt:i4>
      </vt:variant>
      <vt:variant>
        <vt:i4>0</vt:i4>
      </vt:variant>
      <vt:variant>
        <vt:i4>5</vt:i4>
      </vt:variant>
      <vt:variant>
        <vt:lpwstr>../../../../../../../../lquiroz/AppData/Local/Microsoft/Windows/Temporary Internet Files/Content.Outlook/HBGSO9P3/MODELO CTA 2013.pptx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acorona</dc:creator>
  <cp:keywords/>
  <cp:lastModifiedBy>Jessica Muñoz</cp:lastModifiedBy>
  <cp:revision>3</cp:revision>
  <dcterms:created xsi:type="dcterms:W3CDTF">2024-07-13T17:02:00Z</dcterms:created>
  <dcterms:modified xsi:type="dcterms:W3CDTF">2024-07-15T20:02:00Z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0x010100F4D3CCCD0CFC8E48A23B0770796809E1</vt:lpwstr>
  </property>
</Properties>
</file>